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المرصفي
</w:t>
      </w:r>
    </w:p>
    <w:p>
      <w:pPr>
        <w:jc w:val="start"/>
        <w:bidi/>
      </w:pPr>
      <w:r>
        <w:rPr>
          <w:rFonts w:ascii="arial" w:hAnsi="arial" w:eastAsia="arial" w:cs="arial"/>
          <w:sz w:val="28"/>
          <w:szCs w:val="28"/>
          <w:b w:val="1"/>
          <w:bCs w:val="1"/>
          <w:rtl/>
        </w:rPr>
        <w:t xml:space="preserve">المرصفي
</w:t>
      </w:r>
    </w:p>
    <w:p>
      <w:pPr/>
      <w:r>
        <w:rPr/>
        <w:t xml:space="preserve">المرصفي  محمد بن حسن نائل المرصفي: صحفي، من أدباء مصر. نسبته إلى مرصفا (من قراها الكبيرة) نشأ في القاهرة، وقرأ مدة في الأزهر ودار العلوم. وعين مدرسا للعربية في مدارس ’’الفرير’’ ثم أصدر مجلة ’’الجديد’’ ومجلة’’شهرزاد’’ إلى يوم وفاته. له كتب مدرسية وضعها أيام اشتغاله بالتعليم. منها’’الابداع-ط’’ في الاملاء، و’’زهرة الرسائل –ط’’ و’’لآلى الانشاء-ط’’ و’’القول المراد من بانت سعاد-ط’’ و’’أدب اللغة العربية-ط’’ جزآن. وله تعليقات على شرح نهج البلاغة للشيخ محمد عبده، في طبعتي دار الكتب والميمنية. توفي بالقاهرة. </w:t>
      </w:r>
    </w:p>
    <w:p>
      <w:pPr>
        <w:jc w:val="start"/>
        <w:bidi/>
      </w:pPr>
      <w:r>
        <w:rPr>
          <w:sz w:val="24"/>
          <w:szCs w:val="24"/>
          <w:b w:val="1"/>
          <w:bCs w:val="1"/>
          <w:rtl/>
        </w:rPr>
        <w:t xml:space="preserve">
الأعلام،(دار العلم للملايين - بيروت،2002،ط 15،ج 6،ص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2026-10-03T21:31:36+03:00</dcterms:created>
  <dcterms:modified xsi:type="dcterms:W3CDTF">2026-10-03T21:31:36+03:00</dcterms:modified>
</cp:coreProperties>
</file>

<file path=docProps/custom.xml><?xml version="1.0" encoding="utf-8"?>
<Properties xmlns="http://schemas.openxmlformats.org/officeDocument/2006/custom-properties" xmlns:vt="http://schemas.openxmlformats.org/officeDocument/2006/docPropsVTypes"/>
</file>