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قرطاي الأمير شهاب الدين نائب طرابلس
</w:t>
      </w:r>
    </w:p>
    <w:p>
      <w:pPr>
        <w:jc w:val="start"/>
        <w:bidi/>
      </w:pPr>
      <w:r>
        <w:rPr>
          <w:rFonts w:ascii="arial" w:hAnsi="arial" w:eastAsia="arial" w:cs="arial"/>
          <w:sz w:val="28"/>
          <w:szCs w:val="28"/>
          <w:b w:val="1"/>
          <w:bCs w:val="1"/>
          <w:rtl/>
        </w:rPr>
        <w:t xml:space="preserve">قرطاي الأمير شهاب الدين نائب طرابلس
</w:t>
      </w:r>
    </w:p>
    <w:p>
      <w:pPr/>
      <w:r>
        <w:rPr/>
        <w:t xml:space="preserve">قرطاي الأمير شهاب الدين نائب طرابلس عزل من طرابلس، وورد إلى دمشق على خبز الأمير بدر الدين بكتوت القرماني في جمادى الآخرة سنة سبعة عشرين وسبعمائة وراح عوضه الأمير سيف الدين طينال الحاجب.</w:t>
      </w:r>
    </w:p>
    <w:p/>
    <w:p>
      <w:pPr/>
      <w:r>
        <w:rPr/>
        <w:t xml:space="preserve">وأقام بدمشق إلى أن عزل طينال وتوجه لنيابة غزة، وعاد الأمير شهاب الدين قرطاي إلى طرابلس نائبا في شهر بربيع الآخر سنة ثلاث وثلاثين وسبعمائة.</w:t>
      </w:r>
    </w:p>
    <w:p/>
    <w:p>
      <w:pPr/>
      <w:r>
        <w:rPr/>
        <w:t xml:space="preserve">وكان قد حج وأنفق في الحج أموالا صالحة استصحب معه كثيرا من الأشربة والمعاجن وغير ذلك، وتوفي رحمه الله تعالى في ثامن صفر سنة أربع وثلاثين وسبعمائة.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2026-07-28T06:39:54+03:00</dcterms:created>
  <dcterms:modified xsi:type="dcterms:W3CDTF">2026-07-28T06:39:54+03:00</dcterms:modified>
</cp:coreProperties>
</file>

<file path=docProps/custom.xml><?xml version="1.0" encoding="utf-8"?>
<Properties xmlns="http://schemas.openxmlformats.org/officeDocument/2006/custom-properties" xmlns:vt="http://schemas.openxmlformats.org/officeDocument/2006/docPropsVTypes"/>
</file>