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الشطي
</w:t>
      </w:r>
    </w:p>
    <w:p>
      <w:pPr>
        <w:jc w:val="start"/>
        <w:bidi/>
      </w:pPr>
      <w:r>
        <w:rPr>
          <w:rFonts w:ascii="arial" w:hAnsi="arial" w:eastAsia="arial" w:cs="arial"/>
          <w:sz w:val="28"/>
          <w:szCs w:val="28"/>
          <w:b w:val="1"/>
          <w:bCs w:val="1"/>
          <w:rtl/>
        </w:rPr>
        <w:t xml:space="preserve">محمد الشطي
</w:t>
      </w:r>
    </w:p>
    <w:p>
      <w:pPr/>
      <w:r>
        <w:rPr/>
        <w:t xml:space="preserve">محمد الشطي  محمد بن حسن بن عمر بن معروف الشطي الحنبلي: فرضي، فقيه. مولده ووفاته في دمشق. من كتبه ’’الفتح المبين –ط’’ رسالة في الفرائض، و’’توفيق المواد النظامية لأحكام الشريعة المحمدية –ط’’ و’’تسهيل الأحكام فيما يحتاج اليه الحكام’’ نيف وألف مادة، و’’القواعد الحنبلية في التصرفات العقارية –ط’’ وجمع دفترا كبيرا في ’’تقسيم مياه دمشق وبيان أسهمها المترية’’. </w:t>
      </w:r>
    </w:p>
    <w:p>
      <w:pPr>
        <w:jc w:val="start"/>
        <w:bidi/>
      </w:pPr>
      <w:r>
        <w:rPr>
          <w:sz w:val="24"/>
          <w:szCs w:val="24"/>
          <w:b w:val="1"/>
          <w:bCs w:val="1"/>
          <w:rtl/>
        </w:rPr>
        <w:t xml:space="preserve">
الأعلام،(دار العلم للملايين - بيروت،2002،ط 15،ج 6،ص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2026-10-03T21:32:05+03:00</dcterms:created>
  <dcterms:modified xsi:type="dcterms:W3CDTF">2026-10-03T21:32:05+03:00</dcterms:modified>
</cp:coreProperties>
</file>

<file path=docProps/custom.xml><?xml version="1.0" encoding="utf-8"?>
<Properties xmlns="http://schemas.openxmlformats.org/officeDocument/2006/custom-properties" xmlns:vt="http://schemas.openxmlformats.org/officeDocument/2006/docPropsVTypes"/>
</file>