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الجرجاوي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الجرجاوي
</w:t>
      </w:r>
    </w:p>
    <w:p>
      <w:pPr/>
      <w:r>
        <w:rPr/>
        <w:t xml:space="preserve">الجرجاوي  محمد بن حسن المصري الجرجاوي : متفقه متأدب. كان قاضيا في مديرية أسيوط وجرجا. له (الاسنة الفعالة في أكباد من أنكر على الاستاذ : مررت على الجلالة - ط) وهو شرح أبيات لاحمد بن شرقاوي أولها :</w:t>
      </w:r>
    </w:p>
    <w:p/>
    <w:p>
      <w:pPr>
        <w:jc w:val="center"/>
      </w:pPr>
      <w:r>
        <w:rPr>
          <w:color w:val="ff0000"/>
        </w:rPr>
        <w:t xml:space="preserve">مررت على الجلالة وهي تبكي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فقلت علام تنتحب الكريمة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2026-07-29T08:23:31+03:00</dcterms:created>
  <dcterms:modified xsi:type="dcterms:W3CDTF">2026-07-29T08:23:31+03:00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