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الخطمي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الخطمي
</w:t>
      </w:r>
    </w:p>
    <w:p>
      <w:pPr/>
      <w:r>
        <w:rPr/>
        <w:t xml:space="preserve">أبو جعفر الخطمي عمير بن يزيد بن عمير أبو جعفر الخطمي المدني، نزيل البصرة. </w:t>
      </w:r>
    </w:p>
    <w:p/>
    <w:p>
      <w:pPr/>
      <w:r>
        <w:rPr/>
        <w:t xml:space="preserve">وثقة ابن معين. </w:t>
      </w:r>
    </w:p>
    <w:p/>
    <w:p>
      <w:pPr/>
      <w:r>
        <w:rPr/>
        <w:t xml:space="preserve">وتوفي في حدود الخمسين والمائة. </w:t>
      </w:r>
    </w:p>
    <w:p/>
    <w:p>
      <w:pPr/>
      <w:r>
        <w:rPr/>
        <w:t xml:space="preserve">وروى له الأربعة.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2026-07-30T10:24:23+03:00</dcterms:created>
  <dcterms:modified xsi:type="dcterms:W3CDTF">2026-07-30T10:24:23+03:00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