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صاحب البطيحة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صاحب البطيحة
</w:t>
      </w:r>
    </w:p>
    <w:p>
      <w:pPr/>
      <w:r>
        <w:rPr/>
        <w:t xml:space="preserve">صاحب البطيحة عمران بن شاهين: صاحب البطيحة. </w:t>
      </w:r>
    </w:p>
    <w:p/>
    <w:p>
      <w:pPr/>
      <w:r>
        <w:rPr/>
        <w:t xml:space="preserve">توفي فجأة سنة تسع وستين وثلاثمائة. </w:t>
      </w:r>
    </w:p>
    <w:p/>
    <w:p>
      <w:pPr/>
      <w:r>
        <w:rPr/>
        <w:t xml:space="preserve">ووثب بعده أبو الفرج على أخيه أبي محمد الحسن فقتله، واستولى على البطيحة سنة اثنتين وسبعين وثلاثمائة.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2026-07-28T10:14:01+03:00</dcterms:created>
  <dcterms:modified xsi:type="dcterms:W3CDTF">2026-07-28T10:14:01+03:00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