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القلعي
</w:t>
      </w:r>
    </w:p>
    <w:p>
      <w:pPr>
        <w:jc w:val="start"/>
        <w:bidi/>
      </w:pPr>
      <w:r>
        <w:rPr>
          <w:rFonts w:ascii="arial" w:hAnsi="arial" w:eastAsia="arial" w:cs="arial"/>
          <w:sz w:val="28"/>
          <w:szCs w:val="28"/>
          <w:b w:val="1"/>
          <w:bCs w:val="1"/>
          <w:rtl/>
        </w:rPr>
        <w:t xml:space="preserve">القلعي
</w:t>
      </w:r>
    </w:p>
    <w:p>
      <w:pPr/>
      <w:r>
        <w:rPr/>
        <w:t xml:space="preserve">القلعي  محمد بن الحسن بن علي بن ميمون التميمي القلعي، أبو عبد الله: نحوي، عارف بالأدب، له نظم جيد. نشأ بالجزائر واستوطن بجاية وتوفي بها. نسبته إلى قلعة بني حماد. وكان جده ميمون قاضيا فيها. من كتبه ’’الموضح’’ في النحو، و’’حدق العيون في تنقيح القانون’’ نحو، و’’نشر الخفي’’ في مشكلات كتاب الايضاح للفارسي. </w:t>
      </w:r>
    </w:p>
    <w:p>
      <w:pPr>
        <w:jc w:val="start"/>
        <w:bidi/>
      </w:pPr>
      <w:r>
        <w:rPr>
          <w:sz w:val="24"/>
          <w:szCs w:val="24"/>
          <w:b w:val="1"/>
          <w:bCs w:val="1"/>
          <w:rtl/>
        </w:rPr>
        <w:t xml:space="preserve">
الأعلام،(دار العلم للملايين - بيروت،2002،ط 15،ج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2026-10-03T19:13:30+03:00</dcterms:created>
  <dcterms:modified xsi:type="dcterms:W3CDTF">2026-10-03T19:13:30+03:00</dcterms:modified>
</cp:coreProperties>
</file>

<file path=docProps/custom.xml><?xml version="1.0" encoding="utf-8"?>
<Properties xmlns="http://schemas.openxmlformats.org/officeDocument/2006/custom-properties" xmlns:vt="http://schemas.openxmlformats.org/officeDocument/2006/docPropsVTypes"/>
</file>