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القطيط 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القطيط المعري
</w:t>
      </w:r>
    </w:p>
    <w:p>
      <w:pPr/>
      <w:r>
        <w:rPr/>
        <w:t xml:space="preserve">القطيط المعري علي بن محمد بن علي، أبو الحسن المعري، المعروف بالقطيط، وبالبديع أيضا. من شعراء الخريدة، أورد له العماد قوله:</w:t>
      </w:r>
    </w:p>
    <w:p/>
    <w:p>
      <w:pPr>
        <w:jc w:val="center"/>
      </w:pPr>
      <w:r>
        <w:rPr>
          <w:color w:val="ff0000"/>
        </w:rPr>
        <w:t xml:space="preserve">نداك، ابن عبد الله، ليس بمقتضى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ومثلك في الكربات من دفع الجلى</w:t>
      </w:r>
    </w:p>
    <w:p/>
    <w:p>
      <w:pPr>
        <w:jc w:val="center"/>
      </w:pPr>
      <w:r>
        <w:rPr>
          <w:color w:val="ff0000"/>
        </w:rPr>
        <w:t xml:space="preserve">وأعتد تقليدي لغيرك منة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هي حلت منه في عنقي غلا</w:t>
      </w:r>
    </w:p>
    <w:p/>
    <w:p>
      <w:pPr>
        <w:jc w:val="center"/>
      </w:pPr>
      <w:r>
        <w:rPr>
          <w:color w:val="ff0000"/>
        </w:rPr>
        <w:t xml:space="preserve">تعاف سؤال الفرع نفسي نفاسة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وجدت فيما تحاوله أصلا</w:t>
      </w:r>
    </w:p>
    <w:p/>
    <w:p>
      <w:pPr>
        <w:jc w:val="center"/>
      </w:pPr>
      <w:r>
        <w:rPr>
          <w:color w:val="ff0000"/>
        </w:rPr>
        <w:t xml:space="preserve">ولا سيما العضب الذي منك جردت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 المجد ما أنباه خطب ولا فلا</w:t>
      </w:r>
    </w:p>
    <w:p/>
    <w:p>
      <w:pPr>
        <w:jc w:val="center"/>
      </w:pPr>
      <w:r>
        <w:rPr>
          <w:color w:val="ff0000"/>
        </w:rPr>
        <w:t xml:space="preserve">أعم الورى جودا وأمنعهم 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وأوفاهم قولا وأحسنهم فعلا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2026-07-28T13:45:34+03:00</dcterms:created>
  <dcterms:modified xsi:type="dcterms:W3CDTF">2026-07-28T13:45:34+03:00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