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الأنباري الواعظ الحنبلي
</w:t>
      </w:r>
    </w:p>
    <w:p>
      <w:pPr>
        <w:jc w:val="start"/>
        <w:bidi/>
      </w:pPr>
      <w:r>
        <w:rPr>
          <w:rFonts w:ascii="arial" w:hAnsi="arial" w:eastAsia="arial" w:cs="arial"/>
          <w:sz w:val="28"/>
          <w:szCs w:val="28"/>
          <w:b w:val="1"/>
          <w:bCs w:val="1"/>
          <w:rtl/>
        </w:rPr>
        <w:t xml:space="preserve">أبو منصور الأنباري الواعظ الحنبلي
</w:t>
      </w:r>
    </w:p>
    <w:p>
      <w:pPr/>
      <w:r>
        <w:rPr/>
        <w:t xml:space="preserve">أبو منصور الأنباري الواعظ الحنبلي علي بن محمد بن علي بن أحمد بن إسماعيل بن جعفر، أبو منصور الواعظ الأنباري. قرأ بالروايات على أبي علي الشرمقاني، وتفقه على القاضي أبي يعلى بن الفراء، وبرع في الفقه، وأفتى، وكان يعظ في جامع القصر وجامع المنصور وجامع المهدي. وكان فصيح العبارة، حسن الإيراد، عذب الألفاظ، طيب التلاوة. وولي القضاء بباب الطاق، وكان نزها عفيفا. سمع الكثير من أبي طالب ابن غيلان، وأبي محمد الجوهري، وأبي إسحاق البرمكي، وأبي بكر محمد بن عبد الملك بن بشران، وجماعة. وكتب بخطه الكثير. ولد سنة خمس وعشرين وأربع مائة وتوفي سنة سبع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2026-07-29T13:18:09+03:00</dcterms:created>
  <dcterms:modified xsi:type="dcterms:W3CDTF">2026-07-29T13:18:09+03:00</dcterms:modified>
</cp:coreProperties>
</file>

<file path=docProps/custom.xml><?xml version="1.0" encoding="utf-8"?>
<Properties xmlns="http://schemas.openxmlformats.org/officeDocument/2006/custom-properties" xmlns:vt="http://schemas.openxmlformats.org/officeDocument/2006/docPropsVTypes"/>
</file>