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الكاتبي القزويني
</w:t>
      </w:r>
    </w:p>
    <w:p>
      <w:pPr>
        <w:jc w:val="start"/>
        <w:bidi/>
      </w:pPr>
      <w:r>
        <w:rPr>
          <w:rFonts w:ascii="arial" w:hAnsi="arial" w:eastAsia="arial" w:cs="arial"/>
          <w:sz w:val="28"/>
          <w:szCs w:val="28"/>
          <w:b w:val="1"/>
          <w:bCs w:val="1"/>
          <w:rtl/>
        </w:rPr>
        <w:t xml:space="preserve">نجم الدين الكاتبي القزويني
</w:t>
      </w:r>
    </w:p>
    <w:p>
      <w:pPr/>
      <w:r>
        <w:rPr/>
        <w:t xml:space="preserve">نجم الدين الكاتبي القزويني علي بن عمر بن علي العلامة نجم الدين الكاتبي، دبيران -بفتح الدال وكسر الباء الموحدة وسكون الياء آخر الحروف راء وألف ونون- القزويني المنطقي الحكيم صاحب التصانيف. توفي في شهر رمضان سنة خمس وسبعين وست مائة، ومولده في شهر رجب سنة ست مائة. له العين في المنطق، والرسالة الشمسية مختصرها، وله جامع الدقائق، وحكمة العين، وله كتاب جمع فيه الطبيعي والرياضي والإلهي، وأضافه إلى العين ليكون حكمة كاملة. وله غير ذلك مثل: شرح المحصل للإمام فخر الدين الرازي، وشرح الملخص لفخر الدين أيضا، وشرح كشف الأسرار لأفضل الدين الخونجي.</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2026-07-28T19:24:45+03:00</dcterms:created>
  <dcterms:modified xsi:type="dcterms:W3CDTF">2026-07-28T19:24:45+03:00</dcterms:modified>
</cp:coreProperties>
</file>

<file path=docProps/custom.xml><?xml version="1.0" encoding="utf-8"?>
<Properties xmlns="http://schemas.openxmlformats.org/officeDocument/2006/custom-properties" xmlns:vt="http://schemas.openxmlformats.org/officeDocument/2006/docPropsVTypes"/>
</file>