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التمن
</w:t>
      </w:r>
    </w:p>
    <w:p>
      <w:pPr>
        <w:jc w:val="start"/>
        <w:bidi/>
      </w:pPr>
      <w:r>
        <w:rPr>
          <w:rFonts w:ascii="arial" w:hAnsi="arial" w:eastAsia="arial" w:cs="arial"/>
          <w:sz w:val="28"/>
          <w:szCs w:val="28"/>
          <w:b w:val="1"/>
          <w:bCs w:val="1"/>
          <w:rtl/>
        </w:rPr>
        <w:t xml:space="preserve">أبو التمن
</w:t>
      </w:r>
    </w:p>
    <w:p>
      <w:pPr/>
      <w:r>
        <w:rPr/>
        <w:t xml:space="preserve">أبو التمن  محمد جعفر جلبي أبو التمن: من زعماء الحركة الوطنية في العراق. مولده ووفاته ببغداد. كان من تجارها، وقاوم الاحتلال البريطاني، وبرز نشاطه في ثورة سنة 1920 ولجأ بعد الثورة إلى الحجاز فأقام مدة. وعاد إلى بغداد، فألف ’’الحزب الوطني ’’ لمناوأة الاستعمار، وأصدر عدة صحف سياسية لنشر دعوة حزبه. وولى وزارة التجارة (سنة 1922) ثم لم يلبث أن استقال منها، منصرفا إلى متابعة كفاحه، وانتخب (عضوا) في مجلس النواب. ونفاه الانكليز، بعد انتظام الامر للملك فيصل الاول في العراق، إلى (هنجام) من جزر الخليج الفارسي، واطلق وعين وزيرا للمالية في وزارة حكمت سليمان. وتوفي ببغداد.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2026-10-03T17:27:47+03:00</dcterms:created>
  <dcterms:modified xsi:type="dcterms:W3CDTF">2026-10-03T17:27:47+03:00</dcterms:modified>
</cp:coreProperties>
</file>

<file path=docProps/custom.xml><?xml version="1.0" encoding="utf-8"?>
<Properties xmlns="http://schemas.openxmlformats.org/officeDocument/2006/custom-properties" xmlns:vt="http://schemas.openxmlformats.org/officeDocument/2006/docPropsVTypes"/>
</file>