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w:t>
      </w:r>
    </w:p>
    <w:p>
      <w:pPr>
        <w:jc w:val="start"/>
        <w:bidi/>
      </w:pPr>
      <w:r>
        <w:rPr>
          <w:rFonts w:ascii="arial" w:hAnsi="arial" w:eastAsia="arial" w:cs="arial"/>
          <w:sz w:val="28"/>
          <w:szCs w:val="28"/>
          <w:b w:val="1"/>
          <w:bCs w:val="1"/>
          <w:rtl/>
        </w:rPr>
        <w:t xml:space="preserve">محمد بن جعفر
</w:t>
      </w:r>
    </w:p>
    <w:p>
      <w:pPr/>
      <w:r>
        <w:rPr/>
        <w:t xml:space="preserve">محمد بن جعفر  محمد بن جعفر بن محمد بن العباس، أبو الفرج: وزير، من الأدباء الكتاب. كان يلقب بذي السعادات. من أهل بغداد، فارسي الأصل. توفي معتقلا.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فسانجس
</w:t>
      </w:r>
    </w:p>
    <w:p>
      <w:pPr/>
      <w:r>
        <w:rPr/>
        <w:t xml:space="preserve">الوزير ابن فسانجس محمد بن جعفر بن محمد بن فسانجس الوزير الكبير أبو الفرج ذو السعادات، وزر لأبي كاليجار وعزل سنة خمس وثلثين وأربع ماية وحكم على العراق، وكان ذا أدب غزير ومعرفة باللغات وكان يحسن إلى الجند، عاش ستين سنة ومات في شهر رمضان سنة أربعين وأربع ماية، وقال أبو الحسن محمد بن عبد الملك بن الهمذاني في كتاب الوزراء: له نسب صحيح بفارس معروف بأنه من ولد بهرام جور من ولد سابور ذي الأكتاف وهو من بيت جليل، كتب إليه أحد شهود الأهواز قد مات فلان وخلف خمسين ألف دينار عينا ولم يخلف غير طفلة من جارية فإن رأى استقراض المال إلى أن تبلغ الطفلة ففي عقارها وأملاكها كفاية فوقع على ظهر كتابه الطفلة جبرها الله والمال ثمره الله والساعي لعنه الله لا حاجة بالسلطان إلى المال.</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أبو الفرج البغدادي، صاحب المصلى
</w:t>
      </w:r>
    </w:p>
    <w:p>
      <w:pPr/>
      <w:r>
        <w:rPr/>
        <w:t xml:space="preserve">محمد بن جعفر، أبو الفرج البغدادي، صاحب المصلى. عن الهيثم ابن خلف، وغيره.</w:t>
      </w:r>
    </w:p>
    <w:p/>
    <w:p>
      <w:pPr/>
      <w:r>
        <w:rPr/>
        <w:t xml:space="preserve">وولى القضاء.</w:t>
      </w:r>
    </w:p>
    <w:p/>
    <w:p>
      <w:pPr/>
      <w:r>
        <w:rPr/>
        <w:t xml:space="preserve">حدث عنه أبو القاسم التنوخي.</w:t>
      </w:r>
    </w:p>
    <w:p/>
    <w:p>
      <w:pPr/>
      <w:r>
        <w:rPr/>
        <w:t xml:space="preserve">ضعفه حمزة السهمى جدا.</w:t>
      </w:r>
    </w:p>
    <w:p/>
    <w:p>
      <w:pPr/>
      <w:r>
        <w:rPr/>
        <w:t xml:space="preserve">وقال الخطيب: ضعيف.</w:t>
      </w:r>
    </w:p>
    <w:p>
      <w:pPr>
        <w:jc w:val="start"/>
        <w:bidi/>
      </w:pPr>
      <w:r>
        <w:rPr>
          <w:sz w:val="24"/>
          <w:szCs w:val="24"/>
          <w:b w:val="1"/>
          <w:bCs w:val="1"/>
          <w:rtl/>
        </w:rPr>
        <w:t xml:space="preserve">
ميزان الاعتدال في نقد الرجال،(دار المعرفة للطباعة والنشر، بيروت - لبنان،1963،ط 1،ج 3،ص 501)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2026-10-03T17:32:31+03:00</dcterms:created>
  <dcterms:modified xsi:type="dcterms:W3CDTF">2026-10-03T17:32:31+03:00</dcterms:modified>
</cp:coreProperties>
</file>

<file path=docProps/custom.xml><?xml version="1.0" encoding="utf-8"?>
<Properties xmlns="http://schemas.openxmlformats.org/officeDocument/2006/custom-properties" xmlns:vt="http://schemas.openxmlformats.org/officeDocument/2006/docPropsVTypes"/>
</file>