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النجار
</w:t>
      </w:r>
    </w:p>
    <w:p>
      <w:pPr>
        <w:jc w:val="start"/>
        <w:bidi/>
      </w:pPr>
      <w:r>
        <w:rPr>
          <w:rFonts w:ascii="arial" w:hAnsi="arial" w:eastAsia="arial" w:cs="arial"/>
          <w:sz w:val="28"/>
          <w:szCs w:val="28"/>
          <w:b w:val="1"/>
          <w:bCs w:val="1"/>
          <w:rtl/>
        </w:rPr>
        <w:t xml:space="preserve">ابن النجار
</w:t>
      </w:r>
    </w:p>
    <w:p>
      <w:pPr/>
      <w:r>
        <w:rPr/>
        <w:t xml:space="preserve">ابن النجار  محمد بن جعفر بن محمد بن هارون التميمي، أبو الحسن، المعروف بابن النجار: عالم بالعربية، له اشتغال بالتاريخ. معمر. من أهل الكوفة. مولده ووفاته فيها. من كتبه ’’تاريخ الكوفة’’ رآه ياقوت، و’’التحف والطرف’’ و’’روضة الأخبار’’ و’’القراآت’’.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المقرئ
</w:t>
      </w:r>
    </w:p>
    <w:p>
      <w:pPr/>
      <w:r>
        <w:rPr/>
        <w:t xml:space="preserve">ابن النجار المقرئ محمد بن جعفر بن محمد بن هرون بن فروة أبو الحسين التميمي النحوي المقرئ ابن النجار، توفي سنة اثنتين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بن هارون
</w:t>
      </w:r>
    </w:p>
    <w:p>
      <w:pPr/>
      <w:r>
        <w:rPr/>
        <w:t xml:space="preserve">محمد بن جعفر بن محمد بن هارون بن فروة بن ناجية بن مالك أبو الحسن التميمي النحوي المعروف بابن النجار: من أهل الكوفة، ولد سنة ثلاث وثلاثمائة بالكوفة، وقدم بغداد وحدث بها عن ابن دريد ونفطويه والصولي وغيرهم.</w:t>
      </w:r>
    </w:p>
    <w:p/>
    <w:p>
      <w:pPr/>
      <w:r>
        <w:rPr/>
        <w:t xml:space="preserve">قال الخطيب: وهو ثقة مات في جمادى الأولى سنة اثنتين وأربعمائة بالكوفة؛ نقلت ذلك من تاريخ ابن الجوزي ونقله هو من تاريخ الخطيب حرفا حرفا، ونقلت من زيادات الوزير المغربي في فهرست النديم انه ولد سنة احدى عشرة وثلاثمائة قال:</w:t>
      </w:r>
    </w:p>
    <w:p/>
    <w:p>
      <w:pPr/>
      <w:r>
        <w:rPr/>
        <w:t xml:space="preserve">وكان من مجودي القراء أخذ عن النقار وغيره، وكان يقرئ لحمزة، والكسائي الغالب في أخذه، ولقي أحمد بن يونس، وروى قراءة عاصم عنه عن الأعمش عن أبي بكر ابن عياش عن عاصم، ولقي من المحدثين القدماء ابن الأشناني الكبير وابن الأشناني</w:t>
      </w:r>
    </w:p>
    <w:p/>
    <w:p>
      <w:pPr/>
      <w:r>
        <w:rPr/>
        <w:t xml:space="preserve">القاضي وابن مروان القطان وأبا عبيدة وغيرهم، قال: وكنا سمعنا منه: كتاب القراءات. وكتاب مختصر في النحو. كتاب الملح والنوادر. كتاب التحف والطرف. كتاب الملح والمسار. كتاب روضة الأخبار ونزهة الأبصار. كتاب تاريخ الكوفة، رأيته.</w:t>
      </w:r>
    </w:p>
    <w:p>
      <w:pPr>
        <w:jc w:val="start"/>
        <w:bidi/>
      </w:pPr>
      <w:r>
        <w:rPr>
          <w:sz w:val="24"/>
          <w:szCs w:val="24"/>
          <w:b w:val="1"/>
          <w:bCs w:val="1"/>
          <w:rtl/>
        </w:rPr>
        <w:t xml:space="preserve">
معجم الأدباء / إرشاد الأريب إلى معرفة الأديب،(دار الغرب الإسلامي - بيروت،1993،ط 0،ج 6،ص 2474)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الإمام المقرئ، المعمر المسند، أبو الحسن، محمد بن جعفر بن محمد بن هارون بن فروة، التميمي النحوي الكوفي، ابن النجار.</w:t>
      </w:r>
    </w:p>
    <w:p/>
    <w:p>
      <w:pPr/>
      <w:r>
        <w:rPr/>
        <w:t xml:space="preserve">تلا على أبي علي الحسن بن عون النقار بحرف عاصم، عن تلاوته على القاسم بن أحمد الخياط تلميذ الشموني.</w:t>
      </w:r>
    </w:p>
    <w:p/>
    <w:p>
      <w:pPr/>
      <w:r>
        <w:rPr/>
        <w:t xml:space="preserve">وسمع الحديث من محمد بن الحسين الخثعمي الأشناني، وأبي بكر بن دريد، وإبراهيم نفطويه، وأبي روق الهزاني.</w:t>
      </w:r>
    </w:p>
    <w:p/>
    <w:p>
      <w:pPr/>
      <w:r>
        <w:rPr/>
        <w:t xml:space="preserve">وعاش مائة عام.</w:t>
      </w:r>
    </w:p>
    <w:p/>
    <w:p>
      <w:pPr/>
      <w:r>
        <w:rPr/>
        <w:t xml:space="preserve">حدث عنه: أبو القاسم الأزهري، وجماعة.</w:t>
      </w:r>
    </w:p>
    <w:p/>
    <w:p>
      <w:pPr/>
      <w:r>
        <w:rPr/>
        <w:t xml:space="preserve">وتلا عليه الحسن بن محمد، وأبو علي غلام الهراس، وطائفة.</w:t>
      </w:r>
    </w:p>
    <w:p/>
    <w:p>
      <w:pPr/>
      <w:r>
        <w:rPr/>
        <w:t xml:space="preserve">قال العتيقي: هو ثقة، مات بالكوفة في جمادى الأولى سنة اثنتين وأربع مائة.</w:t>
      </w:r>
    </w:p>
    <w:p/>
    <w:p>
      <w:pPr/>
      <w:r>
        <w:rPr/>
        <w:t xml:space="preserve">وقال الأزهري: كان مولده في المحرم سنة ثلاث وثلاث مائة.</w:t>
      </w:r>
    </w:p>
    <w:p>
      <w:pPr>
        <w:jc w:val="start"/>
        <w:bidi/>
      </w:pPr>
      <w:r>
        <w:rPr>
          <w:sz w:val="24"/>
          <w:szCs w:val="24"/>
          <w:b w:val="1"/>
          <w:bCs w:val="1"/>
          <w:rtl/>
        </w:rPr>
        <w:t xml:space="preserve">
سير أعلام النبلاء،(دار الحديث- القاهرة،2006،ط 1،ج 12،ص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بن هارون بن فروة الكوفي التميمي النحوي المعروف بابن النجار 
</w:t>
      </w:r>
    </w:p>
    <w:p>
      <w:pPr/>
      <w:r>
        <w:rPr/>
        <w:t xml:space="preserve">محمد بن جعفر بن محمد بن هارون بن فروة الكوفيّ التميميّ النّحوي، المعروف بابن النجار. </w:t>
      </w:r>
    </w:p>
    <w:p/>
    <w:p>
      <w:pPr/>
      <w:r>
        <w:rPr/>
        <w:t xml:space="preserve">قدم بغداد، وروى عن ابن دريد ونفطويه والصّوليّ وغيرهم، وكان من مجوّدي القراء.</w:t>
      </w:r>
    </w:p>
    <w:p/>
    <w:p>
      <w:pPr/>
      <w:r>
        <w:rPr/>
        <w:t xml:space="preserve">له: كتاب القراءات، وكتاب مختصر في النّحو، وكتاب الملح والنّوادر، وكتاب التّحف والطّرف، وكتاب الملح والمسارّ، وكتاب روضة الأخبار ونزهة الأبصار، وكتاب تاريخ الكوفة.</w:t>
      </w:r>
    </w:p>
    <w:p/>
    <w:p>
      <w:pPr/>
      <w:r>
        <w:rPr/>
        <w:t xml:space="preserve">وكانت وفاته بالكوفة سنة اثنتين وأربع مائة، وكان مولده سنة إحدى عشرة وثلاث مائة.</w:t>
      </w:r>
    </w:p>
    <w:p>
      <w:pPr>
        <w:jc w:val="start"/>
        <w:bidi/>
      </w:pPr>
      <w:r>
        <w:rPr>
          <w:sz w:val="24"/>
          <w:szCs w:val="24"/>
          <w:b w:val="1"/>
          <w:bCs w:val="1"/>
          <w:rtl/>
        </w:rPr>
        <w:t xml:space="preserve">
الدر الثمين في أسماء المصنفين،(دار الغرب الإسلامي - تونس،2009،ط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2026-10-03T17:29:35+03:00</dcterms:created>
  <dcterms:modified xsi:type="dcterms:W3CDTF">2026-10-03T17:29:35+03:00</dcterms:modified>
</cp:coreProperties>
</file>

<file path=docProps/custom.xml><?xml version="1.0" encoding="utf-8"?>
<Properties xmlns="http://schemas.openxmlformats.org/officeDocument/2006/custom-properties" xmlns:vt="http://schemas.openxmlformats.org/officeDocument/2006/docPropsVTypes"/>
</file>