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البرغاني
</w:t>
      </w:r>
    </w:p>
    <w:p>
      <w:pPr/>
      <w:r>
        <w:rPr/>
        <w:t xml:space="preserve">البرغاني  محمد تقي بن محمد البرغاني اصلا و مولدا، القزويني مسكنا و مدفنا: فقيه امامي. نسبته إلى برغان (من قرى طهران) تعلم و استقر في قزوين. من كتبه (عيون الاصول) في اصول الفقه، مجلدان، و (منهج الاجتهاد) في الفقه كبير، و (مجالس المؤمنين-ط) في الاخبار و المواعظ و التفسير و الحديث. اغتاله نفر من البابية وهو يصلي في المسجد ليلا بقزوين.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2026-10-03T15:28:15+03:00</dcterms:created>
  <dcterms:modified xsi:type="dcterms:W3CDTF">2026-10-03T15:28:15+03:00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