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الواعظ
</w:t>
      </w:r>
    </w:p>
    <w:p>
      <w:pPr>
        <w:jc w:val="start"/>
        <w:bidi/>
      </w:pPr>
      <w:r>
        <w:rPr>
          <w:rFonts w:ascii="arial" w:hAnsi="arial" w:eastAsia="arial" w:cs="arial"/>
          <w:sz w:val="28"/>
          <w:szCs w:val="28"/>
          <w:b w:val="1"/>
          <w:bCs w:val="1"/>
          <w:rtl/>
        </w:rPr>
        <w:t xml:space="preserve">جمال الدين الواعظ
</w:t>
      </w:r>
    </w:p>
    <w:p>
      <w:pPr/>
      <w:r>
        <w:rPr/>
        <w:t xml:space="preserve">جمال الدين الواعظ عثمان بن مكي بن عثمان بن إسماعيل بن إبراهيم بن شبيب. الإمام الواعظ جمال الدين، أبو عمرو السعدي، الشارعي، الشافعي، المذكر. </w:t>
      </w:r>
    </w:p>
    <w:p/>
    <w:p>
      <w:pPr/>
      <w:r>
        <w:rPr/>
        <w:t xml:space="preserve">ولد سنة ثلاث وثمانين وخمس ماية، وتوفي سنة تسع وخمسين وست ماية. </w:t>
      </w:r>
    </w:p>
    <w:p/>
    <w:p>
      <w:pPr/>
      <w:r>
        <w:rPr/>
        <w:t xml:space="preserve">وسمع الكثير من أبيه وقاسم بن إبراهيم المقدسي وابن ياسين والبوصيري والأرتاحي وفاطمة وابن نجا الواعظ والعماد الكاتب وابن الطفيل والحافظ عبد الغني وجماعة. وعني بالحديث. روى عنه الدمياطي وابن الظاهري. وكان شيخا فاضلا مشهورا بالدين والصلاح، وكان يجلس للوعظ، وهو حسن الإيراد كثير المحفوظ. له اليد الطولى في المواقيت وعمل الساعات. حدث هو وأبوه وجده وإخوته.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2026-07-27T21:49:04+03:00</dcterms:created>
  <dcterms:modified xsi:type="dcterms:W3CDTF">2026-07-27T21:49:04+03:00</dcterms:modified>
</cp:coreProperties>
</file>

<file path=docProps/custom.xml><?xml version="1.0" encoding="utf-8"?>
<Properties xmlns="http://schemas.openxmlformats.org/officeDocument/2006/custom-properties" xmlns:vt="http://schemas.openxmlformats.org/officeDocument/2006/docPropsVTypes"/>
</file>