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الكلوذاني الكاتب
</w:t>
      </w:r>
    </w:p>
    <w:p>
      <w:pPr>
        <w:jc w:val="start"/>
        <w:bidi/>
      </w:pPr>
      <w:r>
        <w:rPr>
          <w:rFonts w:ascii="arial" w:hAnsi="arial" w:eastAsia="arial" w:cs="arial"/>
          <w:sz w:val="28"/>
          <w:szCs w:val="28"/>
          <w:b w:val="1"/>
          <w:bCs w:val="1"/>
          <w:rtl/>
        </w:rPr>
        <w:t xml:space="preserve">أبو القاسم الكلوذاني الكاتب
</w:t>
      </w:r>
    </w:p>
    <w:p>
      <w:pPr/>
      <w:r>
        <w:rPr/>
        <w:t xml:space="preserve">أبو القاسم الكلوذاني الكاتب عبيد الله بن أحمد بن محمد بن عبد الله بن الحسين ابن أبي الحسن ابن خسرو فيروز. أبو القاسم الكلوذاني من نسل أردشير بن بابك. كان قد تولى ديوان السواد ولما عزل المقتدر وزيره أبا العباس الخصيبي أحضر أبا القاسم المذكور سنة أربع عشرة وثلاث ماية وعرفه أنه قلد أبا الحسن علي بن عيسى بن الجراح الوزارة وهو بالشام واليا عليها وقد استخلفه إلى أن يقدم فناب إلى أن وصل الوزير. ثم إن المقتدر قلد عبيد الله المذكور الوزارة لخمس بقين من شهر رجب سنة تسع عشرة وثلاث ماية وجعل علي بن عيسى بن الجراح مشرفا عليه ومجتمعا معه على تدبير الأمور. ثم عزل في شهر رمضان من السنة. وكانت مدة ولايته شهرين وثلاثة أيام. وكان عارفا بالأعمال، ثقة ذا مروءة. وله مصنف في الخراج -نسختين. </w:t>
      </w:r>
    </w:p>
    <w:p/>
    <w:p>
      <w:pPr/>
      <w:r>
        <w:rPr/>
        <w:t xml:space="preserve">وتوفي سنة أربعين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2026-07-28T01:23:02+03:00</dcterms:created>
  <dcterms:modified xsi:type="dcterms:W3CDTF">2026-07-28T01:23:02+03:00</dcterms:modified>
</cp:coreProperties>
</file>

<file path=docProps/custom.xml><?xml version="1.0" encoding="utf-8"?>
<Properties xmlns="http://schemas.openxmlformats.org/officeDocument/2006/custom-properties" xmlns:vt="http://schemas.openxmlformats.org/officeDocument/2006/docPropsVTypes"/>
</file>