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بركات
</w:t>
      </w:r>
    </w:p>
    <w:p>
      <w:pPr>
        <w:jc w:val="start"/>
        <w:bidi/>
      </w:pPr>
      <w:r>
        <w:rPr>
          <w:rFonts w:ascii="arial" w:hAnsi="arial" w:eastAsia="arial" w:cs="arial"/>
          <w:sz w:val="28"/>
          <w:szCs w:val="28"/>
          <w:b w:val="1"/>
          <w:bCs w:val="1"/>
          <w:rtl/>
        </w:rPr>
        <w:t xml:space="preserve">محمد بن بركات
</w:t>
      </w:r>
    </w:p>
    <w:p>
      <w:pPr/>
      <w:r>
        <w:rPr/>
        <w:t xml:space="preserve">محمد بن بركات  محمد بن بركات بن حسن بن عجلان: شريف حسني من أمراء مكة. ولد فيها، ووليها بعد وفاة أبيه (سنة 859 هـ) وكان على شئ من العلم، وفيه فضائل. بنى بمكة عمارات لم يسبق إلى مثلها. واستمر في الامارة إلى أن توفي. </w:t>
      </w:r>
    </w:p>
    <w:p>
      <w:pPr>
        <w:jc w:val="start"/>
        <w:bidi/>
      </w:pPr>
      <w:r>
        <w:rPr>
          <w:sz w:val="24"/>
          <w:szCs w:val="24"/>
          <w:b w:val="1"/>
          <w:bCs w:val="1"/>
          <w:rtl/>
        </w:rPr>
        <w:t xml:space="preserve">
الأعلام،(دار العلم للملايين - بيروت،2002،ط 15،ج 6،ص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الشريف، محمد بن بركات
</w:t>
      </w:r>
    </w:p>
    <w:p>
      <w:pPr/>
      <w:r>
        <w:rPr/>
        <w:t xml:space="preserve">الشريف، محمد بن بركات محمد بن بركات بن حسن بن عجلان، الشريف صاحب مكة الآن.</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محمد بن بركات بن حسن بن عجلان الحسنى أمير مكة وابن أمرائها
</w:t>
      </w:r>
    </w:p>
    <w:p>
      <w:pPr/>
      <w:r>
        <w:rPr/>
        <w:t xml:space="preserve">السيد محمد بن بركات بن حسن بن عجلان الحسنى أمير مكة وابن أمرائها </w:t>
      </w:r>
    </w:p>
    <w:p/>
    <w:p>
      <w:pPr/>
      <w:r>
        <w:rPr/>
        <w:t xml:space="preserve">ولد في رمضان سنة 840 أربعين وثمان مائة بمكة وأجاز له جماعة من الأعيان ونشأ في كنف أبيه ثم سأل الأب إشراك ولده معه في الأمر ففعل السلطان ذلك فوصل المرسوم إلى مكة بذلك ودعي له على زمزم كعادتهم وكان غايبا باليمن. ولما وصل إليه الخبر بذلك عاد إلى مكة وحمدت سيرته وتوجه إلى بلاد الشرق غير مرة وأكثر من زيارة القبر النبوي على صاحبه أفضل الصلاة والسلام ومع زيارته يحسن إلى أهل المدينة وكان كثير التفقد لأهل مكة لا سيما الفقراء والغرباء وأمن الناس في أيامه وكثرت أمواله وأتباعه وفاق أسلافه وما زال أمره في نمو وأضيفت إليه سائر بلاد الحجاز ليستنيب من يختاره ودعي له على منبر مكة والمدينة وكان يغزوا إلى ديار من يخالفه فيحيط به وكذا أطاعه صاحب جازان وقد أثنى عليه السخاوي كثيرا لأنه كان معاصرا له ووصفه بالعقل والفهم والتواضع وحسن الشكالة والمداومة على الجماعات والسكون وكف الأتباع عن الرعية وعدم الطمع في أموالهم بما لم يسمع بمثله في دولة من قبله واستمر على ولايته حتى مات في الحادي والعشرين من محرم سنة 903 ثلاث وتسعمائة وخلف من الأولاد ذكورا وإناثا نحو الأربعين</w:t>
      </w:r>
    </w:p>
    <w:p>
      <w:pPr>
        <w:jc w:val="start"/>
        <w:bidi/>
      </w:pPr>
      <w:r>
        <w:rPr>
          <w:sz w:val="24"/>
          <w:szCs w:val="24"/>
          <w:b w:val="1"/>
          <w:bCs w:val="1"/>
          <w:rtl/>
        </w:rPr>
        <w:t xml:space="preserve">
البدر الطالع بمحاسن من بعد القرن السابع،(دار المعرفة - بيروت،0،ط 1،ج 2،ص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2026-10-03T13:43:53+03:00</dcterms:created>
  <dcterms:modified xsi:type="dcterms:W3CDTF">2026-10-03T13:43:53+03:00</dcterms:modified>
</cp:coreProperties>
</file>

<file path=docProps/custom.xml><?xml version="1.0" encoding="utf-8"?>
<Properties xmlns="http://schemas.openxmlformats.org/officeDocument/2006/custom-properties" xmlns:vt="http://schemas.openxmlformats.org/officeDocument/2006/docPropsVTypes"/>
</file>