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الأموي نائب دمشق
</w:t>
      </w:r>
    </w:p>
    <w:p>
      <w:pPr>
        <w:jc w:val="start"/>
        <w:bidi/>
      </w:pPr>
      <w:r>
        <w:rPr>
          <w:rFonts w:ascii="arial" w:hAnsi="arial" w:eastAsia="arial" w:cs="arial"/>
          <w:sz w:val="28"/>
          <w:szCs w:val="28"/>
          <w:b w:val="1"/>
          <w:bCs w:val="1"/>
          <w:rtl/>
        </w:rPr>
        <w:t xml:space="preserve">الأموي نائب دمشق
</w:t>
      </w:r>
    </w:p>
    <w:p>
      <w:pPr/>
      <w:r>
        <w:rPr/>
        <w:t xml:space="preserve">الأموي نائب دمشق عبد العزيز بن الوليد بن عبد الملك بن مروان، أبو الأصبغ الأموي، هو ابن أخت عمر بن عبد العزيز. داره بالكشك قبلي دار البطيخ العتيقة. ولي نيابة دمشق لأبيه، وتوفي في حدود العشرة ومائة.</w:t>
      </w:r>
    </w:p>
    <w:p>
      <w:pPr>
        <w:jc w:val="start"/>
        <w:bidi/>
      </w:pPr>
      <w:r>
        <w:rPr>
          <w:sz w:val="24"/>
          <w:szCs w:val="24"/>
          <w:b w:val="1"/>
          <w:bCs w:val="1"/>
          <w:rtl/>
        </w:rPr>
        <w:t xml:space="preserve">
الوافي بالوفيات،(دار فرانز شتاينر، فيسبادن، ألمانيا / دار إحياء التراث - بيروت،2000،ط 1،ج 18،ص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2026-07-28T12:43:02+03:00</dcterms:created>
  <dcterms:modified xsi:type="dcterms:W3CDTF">2026-07-28T12:43:02+03:00</dcterms:modified>
</cp:coreProperties>
</file>

<file path=docProps/custom.xml><?xml version="1.0" encoding="utf-8"?>
<Properties xmlns="http://schemas.openxmlformats.org/officeDocument/2006/custom-properties" xmlns:vt="http://schemas.openxmlformats.org/officeDocument/2006/docPropsVTypes"/>
</file>