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المصري الشافعي
</w:t>
      </w:r>
    </w:p>
    <w:p>
      <w:pPr>
        <w:jc w:val="start"/>
        <w:bidi/>
      </w:pPr>
      <w:r>
        <w:rPr>
          <w:rFonts w:ascii="arial" w:hAnsi="arial" w:eastAsia="arial" w:cs="arial"/>
          <w:sz w:val="28"/>
          <w:szCs w:val="28"/>
          <w:b w:val="1"/>
          <w:bCs w:val="1"/>
          <w:rtl/>
        </w:rPr>
        <w:t xml:space="preserve">تاج الدين المصري الشافعي
</w:t>
      </w:r>
    </w:p>
    <w:p>
      <w:pPr/>
      <w:r>
        <w:rPr/>
        <w:t xml:space="preserve">تاج الدين المصري الشافعي عبد الرحمن بن محمد بن علي، تاج الدين ابن الإمام العلامة القاضي فخر الدين المصري الشافعي، تقدم ذكر والده في مكانه. قرأ تاج الدين المذكور المنهاج للشيخ محيي الدين النووي، ومنهاج البيضاوي في الأصول، وناب عن والده في العادلية الصغيرة وفي الرواحية، واستقل هو بتدريس الدولعية لما نزل له عنها والده، وحج مع والده سنة ثمان وأربعين وسبع مائة وجاور والده. وقدم هو صحبة الركب إلى دمشق. وكان هشا بشا فيه كيس وذوق وتعصب مع الناس، وله مروءة وعنده كرم، وفي كل قليلة يعمل للفقهاء دعوة ويحسن إلى أصحابه، وتوفي رحمه الله بالطاعون في شهر رمضان المعظم سنة تسع وأربعين وسبع مائة شابا، تقدير عمره ثلاث وعشرون سنة وتأسف أصحابه ومن يعرفه عليه.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2026-07-27T23:32:56+03:00</dcterms:created>
  <dcterms:modified xsi:type="dcterms:W3CDTF">2026-07-27T23:32:56+03:00</dcterms:modified>
</cp:coreProperties>
</file>

<file path=docProps/custom.xml><?xml version="1.0" encoding="utf-8"?>
<Properties xmlns="http://schemas.openxmlformats.org/officeDocument/2006/custom-properties" xmlns:vt="http://schemas.openxmlformats.org/officeDocument/2006/docPropsVTypes"/>
</file>