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 زاده
</w:t>
      </w:r>
    </w:p>
    <w:p>
      <w:pPr>
        <w:jc w:val="start"/>
        <w:bidi/>
      </w:pPr>
      <w:r>
        <w:rPr>
          <w:rFonts w:ascii="arial" w:hAnsi="arial" w:eastAsia="arial" w:cs="arial"/>
          <w:sz w:val="28"/>
          <w:szCs w:val="28"/>
          <w:b w:val="1"/>
          <w:bCs w:val="1"/>
          <w:rtl/>
        </w:rPr>
        <w:t xml:space="preserve">جوي زاده
</w:t>
      </w:r>
    </w:p>
    <w:p>
      <w:pPr/>
      <w:r>
        <w:rPr/>
        <w:t xml:space="preserve">جوي زاده  محمد بن الياس الحنفي الرومي، قاض تركي الأصل والمنشأ، عربي الآثار. ولى القضاء بمصر، فقضاء العساكر الأناضولية. ثم عين مفتيا بالقسطنطينية. وأنكر على الشيخ محيي الدين ابن العربي بعض أقواله، فعزله السلطان من الافتاء، فاشتغل بالتدريس. وأعيد إلى القضاء في عساكر الروم ايلي، فمات فيها. قال ابن العماد: كان غزير العلم بالفقه والتفسير والأصول، مشاركا في سائر العلوم، سيفا من سيوف الحق قاطعا. له ’’تعليقات ’’ لم تشتهر، و’’فتاوى جوى زاده –خ’’ و’’ميزان المدعيين في اقامة البينتين –خ’’رسالة في تحرير دعوى الملك، فقه. </w:t>
      </w:r>
    </w:p>
    <w:p>
      <w:pPr>
        <w:jc w:val="start"/>
        <w:bidi/>
      </w:pPr>
      <w:r>
        <w:rPr>
          <w:sz w:val="24"/>
          <w:szCs w:val="24"/>
          <w:b w:val="1"/>
          <w:bCs w:val="1"/>
          <w:rtl/>
        </w:rPr>
        <w:t xml:space="preserve">
الأعلام،(دار العلم للملايين - بيروت،2002،ط 15،ج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2026-10-03T11:39:50+03:00</dcterms:created>
  <dcterms:modified xsi:type="dcterms:W3CDTF">2026-10-03T11:39:50+03:00</dcterms:modified>
</cp:coreProperties>
</file>

<file path=docProps/custom.xml><?xml version="1.0" encoding="utf-8"?>
<Properties xmlns="http://schemas.openxmlformats.org/officeDocument/2006/custom-properties" xmlns:vt="http://schemas.openxmlformats.org/officeDocument/2006/docPropsVTypes"/>
</file>