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محيي الدين قاضي القضاة ابن عين الدولة
</w:t>
      </w:r>
    </w:p>
    <w:p>
      <w:pPr>
        <w:jc w:val="start"/>
        <w:bidi/>
      </w:pPr>
      <w:r>
        <w:rPr>
          <w:rFonts w:ascii="arial" w:hAnsi="arial" w:eastAsia="arial" w:cs="arial"/>
          <w:sz w:val="28"/>
          <w:szCs w:val="28"/>
          <w:b w:val="1"/>
          <w:bCs w:val="1"/>
          <w:rtl/>
        </w:rPr>
        <w:t xml:space="preserve">محيي الدين قاضي القضاة ابن عين الدولة
</w:t>
      </w:r>
    </w:p>
    <w:p>
      <w:pPr/>
      <w:r>
        <w:rPr/>
        <w:t xml:space="preserve">محيي الدين قاضي القضاة ابن عين الدولة عبد الله بن محمد ابن عين الدولة قاضي القضاة محيي الدين أبو الصلاح ابن قاضي القضاة شرف الدين الصفراوي ثم الإسكندري المصري الشافعي. عاش إحدى وثمانين سنة وتوفي سنة ثمان وسبعين وستمائة. وولي القضاء بمصر والوجه القبلي بعد القاضي تاج الدين ابن بنت الأعز مدة، وأصابه فالج، وعجز عن الكتابة خمسة أعوام، وكان كاتب الحكم يعلم عنه ثم عزل وكان فيه لطف ودماثة. </w:t>
      </w:r>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2026-07-29T02:06:13+03:00</dcterms:created>
  <dcterms:modified xsi:type="dcterms:W3CDTF">2026-07-29T02:06:13+03:00</dcterms:modified>
</cp:coreProperties>
</file>

<file path=docProps/custom.xml><?xml version="1.0" encoding="utf-8"?>
<Properties xmlns="http://schemas.openxmlformats.org/officeDocument/2006/custom-properties" xmlns:vt="http://schemas.openxmlformats.org/officeDocument/2006/docPropsVTypes"/>
</file>