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القاضي الطريثيثي
</w:t>
      </w:r>
    </w:p>
    <w:p>
      <w:pPr>
        <w:jc w:val="start"/>
        <w:bidi/>
      </w:pPr>
      <w:r>
        <w:rPr>
          <w:rFonts w:ascii="arial" w:hAnsi="arial" w:eastAsia="arial" w:cs="arial"/>
          <w:sz w:val="28"/>
          <w:szCs w:val="28"/>
          <w:b w:val="1"/>
          <w:bCs w:val="1"/>
          <w:rtl/>
        </w:rPr>
        <w:t xml:space="preserve">أبو بكر القاضي الطريثيثي
</w:t>
      </w:r>
    </w:p>
    <w:p>
      <w:pPr/>
      <w:r>
        <w:rPr/>
        <w:t xml:space="preserve">أبو بكر القاضي الطريثيثي عبد الله بن محمد بن طاهر الطريثيثي، أبو بكر القاضي. وطريثيث بلد من أعمال نيسابور. له يد باسطة في اللغة والنحو والأدب. ورد بغداد قبل سنة اثنتين وثمانين وأربعمائة. له كتاب الموازنة بين أبي طاهر وطاهر، يمدح فيه أبا طاهر الخوارزمي ويذم طاهر الطريثيثي، وهو كتاب كثير الفوائد. وتوفي سنة ثلاث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2026-07-28T12:55:56+03:00</dcterms:created>
  <dcterms:modified xsi:type="dcterms:W3CDTF">2026-07-28T12:55:56+03:00</dcterms:modified>
</cp:coreProperties>
</file>

<file path=docProps/custom.xml><?xml version="1.0" encoding="utf-8"?>
<Properties xmlns="http://schemas.openxmlformats.org/officeDocument/2006/custom-properties" xmlns:vt="http://schemas.openxmlformats.org/officeDocument/2006/docPropsVTypes"/>
</file>