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البدر التستري
</w:t>
      </w:r>
    </w:p>
    <w:p>
      <w:pPr>
        <w:jc w:val="start"/>
        <w:bidi/>
      </w:pPr>
      <w:r>
        <w:rPr>
          <w:rFonts w:ascii="arial" w:hAnsi="arial" w:eastAsia="arial" w:cs="arial"/>
          <w:sz w:val="28"/>
          <w:szCs w:val="28"/>
          <w:b w:val="1"/>
          <w:bCs w:val="1"/>
          <w:rtl/>
        </w:rPr>
        <w:t xml:space="preserve">البدر التستري
</w:t>
      </w:r>
    </w:p>
    <w:p>
      <w:pPr/>
      <w:r>
        <w:rPr/>
        <w:t xml:space="preserve">البدر التستري  محمد بن أسعد اليمني، بدر الدين التستري: عالم بالحكمة والمنطق والاصول. أطراه الاسنوي في العلم والفهم، ثم ضعفه بقلة الدين، وقال: كان كثير الترك للصلاة، ولهذا لم يكن عليه نور أهل العلم. أقام يدرس بقزوين نحو عشر سنين، وقدم مصر سنة 727 ه‍، ورجع إلى العراق بعد أيام قلائل، وكان يصيف بهمذان ويشتي ببغداد. وتوفي بهمذان. له تصانيف، منها (كاشف الاسرار عن معاني طوالع الانوار للبيضاوي - خ) بخطه، في دار الكتب، عن كوبريلي (831) كتبه سنة 707 و (شرح الغاية القصوى) للبيضاوي، في فروع الشافعية، و (حل عقد مطالع الانوار) للارموي في المنطق، و (مجمع الدرر - خ) في شرح المختصر لابن الحاجب، في التيمورية (133). </w:t>
      </w:r>
    </w:p>
    <w:p>
      <w:pPr>
        <w:jc w:val="start"/>
        <w:bidi/>
      </w:pPr>
      <w:r>
        <w:rPr>
          <w:sz w:val="24"/>
          <w:szCs w:val="24"/>
          <w:b w:val="1"/>
          <w:bCs w:val="1"/>
          <w:rtl/>
        </w:rPr>
        <w:t xml:space="preserve">
الأعلام،(دار العلم للملايين - بيروت،2002،ط 15،ج 6،ص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التستري بدر الدين
</w:t>
      </w:r>
    </w:p>
    <w:p>
      <w:pPr/>
      <w:r>
        <w:rPr/>
        <w:t xml:space="preserve">محمد بن أسعد التستري بدر الدين محمد بن أسعد التستري بدر الدين ذكره الشيخ جمال الدين الاسنوي واطراه في العلم والفهم ثم ضعفه بقلة الدين والرفض وترك الصلاة قال ولذلك لم يكن عليه نور أهل العلم ولا حسن هيئتهم مع المروءة الزائدة وحسن الشكالة قال وكان فقيها فائقا في الأصلين والمنطق والحكمة وله شرح ابن الحاجب والبيضاوي والطوالع والمطالع والغاية القصوى وقدم الديار المصرية سنة 27 فأقام بها قليلا ثم رجع فكان يصيف بهمذان ويشتي ببغداد ومات بهمذان سنة نيف وثلاثين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التستري
</w:t>
      </w:r>
    </w:p>
    <w:p>
      <w:pPr/>
      <w:r>
        <w:rPr/>
        <w:t xml:space="preserve">محمد بن أسعد التستري </w:t>
      </w:r>
    </w:p>
    <w:p/>
    <w:p>
      <w:pPr/>
      <w:r>
        <w:rPr/>
        <w:t xml:space="preserve">العارف بالأصلين والحكمة، والمنطق وشارح ابن الحاجب، و’’المنهاج’’ و’’الطوالع’’، و’’الغاية القصوى’’، وكتب ابن سينا، أقام بقزوين يدرس نحو عشر سنين، ثم ورد بلدنا مصر في أوائل سنة سبع وعشرين وسبعمائة فأقام بها أشهراً قلائل فأقرأ بها، ثم رجع إلى العراق فكان يُصيّف بهمدان ويُشتى ببغداد لحرارتها إلى أن توفى بهمدان في نيف وثلاثين وسبعمائة، وكان مداوماً على لعبة الشطرنج نسب إلى الرقص وكثرة ترك الصلاة، وله ثروة زائدة وحسن شاكله -سامحه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2026-10-03T10:48:31+03:00</dcterms:created>
  <dcterms:modified xsi:type="dcterms:W3CDTF">2026-10-03T10:48:31+03:00</dcterms:modified>
</cp:coreProperties>
</file>

<file path=docProps/custom.xml><?xml version="1.0" encoding="utf-8"?>
<Properties xmlns="http://schemas.openxmlformats.org/officeDocument/2006/custom-properties" xmlns:vt="http://schemas.openxmlformats.org/officeDocument/2006/docPropsVTypes"/>
</file>