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محمد بن أسعد بن محمد بن موسى العمراني، بهاء الدين: قاض يماني. من الشعراء الكتاب البلغاء الخطباء الدهاة في عصره. استوزره المظفر الرسولي (صاحب اليمن) وولاه قضاء الأقضية، فكان أول من جمع بين الوزارة والقضاء الأكبر. وحسنت سياسته في تدبير المملكة. جمعت رسائله في مجلد ضخم. ونسبته إلى جد له اسمه ’’عمران’’.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2026-10-03T10:44:34+03:00</dcterms:created>
  <dcterms:modified xsi:type="dcterms:W3CDTF">2026-10-03T10:44:34+03:00</dcterms:modified>
</cp:coreProperties>
</file>

<file path=docProps/custom.xml><?xml version="1.0" encoding="utf-8"?>
<Properties xmlns="http://schemas.openxmlformats.org/officeDocument/2006/custom-properties" xmlns:vt="http://schemas.openxmlformats.org/officeDocument/2006/docPropsVTypes"/>
</file>