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صوفان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صوفان
</w:t>
      </w:r>
    </w:p>
    <w:p>
      <w:pPr/>
      <w:r>
        <w:rPr/>
        <w:t xml:space="preserve">ابن صوفان اسمه أحمد بن الخطاب.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الخطاب الملاح، أبو بكر المقرئ الغسال، ويعرف بابن صوفان، وبابن الكردي.
</w:t>
      </w:r>
    </w:p>
    <w:p>
      <w:pPr/>
      <w:r>
        <w:rPr/>
        <w:t xml:space="preserve">أحمد بن الخطاب الملاح، أبو بكر المقرئ الغسال، ويعرف بابن صوفان، وبابن الكردي. </w:t>
      </w:r>
    </w:p>
    <w:p/>
    <w:p>
      <w:pPr/>
      <w:r>
        <w:rPr/>
        <w:t xml:space="preserve">حدث، ذكره ابن السمعاني، وأثنى عليه.</w:t>
      </w:r>
    </w:p>
    <w:p/>
    <w:p>
      <w:pPr/>
      <w:r>
        <w:rPr/>
        <w:t xml:space="preserve">توفي سنة (514هـ).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2026-07-28T12:39:34+03:00</dcterms:created>
  <dcterms:modified xsi:type="dcterms:W3CDTF">2026-07-28T12:39:34+03:00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