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بنيس
</w:t>
      </w:r>
    </w:p>
    <w:p>
      <w:pPr/>
      <w:r>
        <w:rPr/>
        <w:t xml:space="preserve">محمد بنيس  محمد بن أحمد بن محمد بنيس، أبو عبد الله: فرضي، له علم بالادب. من أهل فاس. من كتبه (لوامع أنوار الكوكب الدري - ط) في شرح همزية البوصيري، و (بهجة البصر - ط) في شرح فرائض المختصر لخليل، و (حاشية على بغية الطلاب - ط) في شرح منية الحساب لابن غازي. و (تلخيص وتحصيل ما للائمة الاعلام في مسائل الحيازة الدائرة بين الحكام - خ) رسالة في خزانة الرباط (1447 د) وكانت وفاته في الوباء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2026-10-03T07:30:58+03:00</dcterms:created>
  <dcterms:modified xsi:type="dcterms:W3CDTF">2026-10-03T07:30:58+03:00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