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السفاريني
</w:t>
      </w:r>
    </w:p>
    <w:p>
      <w:pPr>
        <w:jc w:val="start"/>
        <w:bidi/>
      </w:pPr>
      <w:r>
        <w:rPr>
          <w:rFonts w:ascii="arial" w:hAnsi="arial" w:eastAsia="arial" w:cs="arial"/>
          <w:sz w:val="28"/>
          <w:szCs w:val="28"/>
          <w:b w:val="1"/>
          <w:bCs w:val="1"/>
          <w:rtl/>
        </w:rPr>
        <w:t xml:space="preserve">السفاريني
</w:t>
      </w:r>
    </w:p>
    <w:p>
      <w:pPr/>
      <w:r>
        <w:rPr/>
        <w:t xml:space="preserve">السفاريني  محمد بن أحمد بن سالم السفاريني، شمس الدين، أبو العون: عالم بالحديث والأصول والأدب، محقق. ولد في سفارين (من قرى نابلس) ورحل إلى دمشق فأخذ عن علمائها. وعاد إلى نابلس فدرس وأفتى، وتوفي فيها. من كتبه ’’ الدرر المصنوعات في الأحاديث الموضوعات ’’ و’’الملح الغرامية –خ’’ في شرح قصيدة ’’ غرامي صحيح ’’ و’’غذاء الألباب، شرح منظومة الآداب –ط’’ جزآن، و’’ لوائح الأنوار البهية وسواطع الأسرار الأثرية المضية في عقد أهل الفرقة المرضية –ط’’جزآن، شرح منظومة له في عقيدة السلف، و’’تحبير الوفا في سيرة المصطفى’’ و’’التحقيق في بطلان التلفيق’’ و’’فتاوى’’ متفرقة، بعضها في كراس أو أقل. </w:t>
      </w:r>
    </w:p>
    <w:p>
      <w:pPr>
        <w:jc w:val="start"/>
        <w:bidi/>
      </w:pPr>
      <w:r>
        <w:rPr>
          <w:sz w:val="24"/>
          <w:szCs w:val="24"/>
          <w:b w:val="1"/>
          <w:bCs w:val="1"/>
          <w:rtl/>
        </w:rPr>
        <w:t xml:space="preserve">
الأعلام،(دار العلم للملايين - بيروت،2002،ط 15،ج 6،ص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2026-10-03T07:33:28+03:00</dcterms:created>
  <dcterms:modified xsi:type="dcterms:W3CDTF">2026-10-03T07:33:28+03:00</dcterms:modified>
</cp:coreProperties>
</file>

<file path=docProps/custom.xml><?xml version="1.0" encoding="utf-8"?>
<Properties xmlns="http://schemas.openxmlformats.org/officeDocument/2006/custom-properties" xmlns:vt="http://schemas.openxmlformats.org/officeDocument/2006/docPropsVTypes"/>
</file>