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طاشكبري
</w:t>
      </w:r>
    </w:p>
    <w:p>
      <w:pPr>
        <w:jc w:val="start"/>
        <w:bidi/>
      </w:pPr>
      <w:r>
        <w:rPr>
          <w:rFonts w:ascii="arial" w:hAnsi="arial" w:eastAsia="arial" w:cs="arial"/>
          <w:sz w:val="28"/>
          <w:szCs w:val="28"/>
          <w:b w:val="1"/>
          <w:bCs w:val="1"/>
          <w:rtl/>
        </w:rPr>
        <w:t xml:space="preserve">ابن طاشكبري
</w:t>
      </w:r>
    </w:p>
    <w:p>
      <w:pPr/>
      <w:r>
        <w:rPr/>
        <w:t xml:space="preserve">ابن طاشكبري  محمد بن أحمد بن مصطفى بن خليل، كمال الدين طاشكبري زاده: قاض متأدب، رومي. قال النجم الغزي: لم أر روميا أفصح منه باللسان العربي. وهو ابن طاشكبري صاحب الشقائق النعمانية. ولي القضاء بحلب ثم بدمشق سنة 1005 وساءت سيرته في هذه فأعيد بعد عشرة أشهر إلى حلب. وترقى إلى أن ولي قضاء العسكرين. قال المحبي: كان كثير الآثار، له نظم ونثر. ومن تصنيفه (طبقات الفقهاء - ط) صغير. </w:t>
      </w:r>
    </w:p>
    <w:p>
      <w:pPr>
        <w:jc w:val="start"/>
        <w:bidi/>
      </w:pPr>
      <w:r>
        <w:rPr>
          <w:sz w:val="24"/>
          <w:szCs w:val="24"/>
          <w:b w:val="1"/>
          <w:bCs w:val="1"/>
          <w:rtl/>
        </w:rPr>
        <w:t xml:space="preserve">
الأعلام،(دار العلم للملايين - بيروت،2002،ط 15،ج 6،ص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2026-10-03T06:55:18+03:00</dcterms:created>
  <dcterms:modified xsi:type="dcterms:W3CDTF">2026-10-03T06:55:18+03:00</dcterms:modified>
</cp:coreProperties>
</file>

<file path=docProps/custom.xml><?xml version="1.0" encoding="utf-8"?>
<Properties xmlns="http://schemas.openxmlformats.org/officeDocument/2006/custom-properties" xmlns:vt="http://schemas.openxmlformats.org/officeDocument/2006/docPropsVTypes"/>
</file>