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الفياض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الفياض
</w:t>
      </w:r>
    </w:p>
    <w:p>
      <w:pPr/>
      <w:r>
        <w:rPr/>
        <w:t xml:space="preserve">أبو الفياض سوار بن أبي شراعة أحمد بن محمد بن شراعة، هو أبو الفياض؛ شاعر مطبوع اتصل بأبي العباس ابن الفرات وتوفي بعد الثلاثمائة. وهو الذي يقول ابن الرومي فيه: </w:t>
      </w:r>
    </w:p>
    <w:p/>
    <w:p>
      <w:pPr>
        <w:jc w:val="center"/>
      </w:pPr>
      <w:r>
        <w:rPr>
          <w:color w:val="ff0000"/>
        </w:rPr>
        <w:t xml:space="preserve">ومن العجائب يا أبا فياض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تبديلك الإقبال بالإعراض</w:t>
      </w:r>
    </w:p>
    <w:p/>
    <w:p>
      <w:pPr/>
      <w:r>
        <w:rPr/>
        <w:t xml:space="preserve">ومن شعر سوار: </w:t>
      </w:r>
    </w:p>
    <w:p/>
    <w:p>
      <w:pPr>
        <w:jc w:val="center"/>
      </w:pPr>
      <w:r>
        <w:rPr>
          <w:color w:val="ff0000"/>
        </w:rPr>
        <w:t xml:space="preserve">اعجب لرأي فتى قد بات ذا 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المنية والبلوى بمعترك</w:t>
      </w:r>
    </w:p>
    <w:p/>
    <w:p>
      <w:pPr>
        <w:jc w:val="center"/>
      </w:pPr>
      <w:r>
        <w:rPr>
          <w:color w:val="ff0000"/>
        </w:rPr>
        <w:t xml:space="preserve">يا سوأتي لامرئ قد شاب مفرقه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مسترخي الباع بين الهزل والضحك</w:t>
      </w:r>
    </w:p>
    <w:p/>
    <w:p>
      <w:pPr>
        <w:jc w:val="center"/>
      </w:pPr>
      <w:r>
        <w:rPr>
          <w:color w:val="ff0000"/>
        </w:rPr>
        <w:t xml:space="preserve">أدركت دنيا وأرجو نيل آخرة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والبر أفضل ما أدركت من درك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2026-07-28T21:25:54+03:00</dcterms:created>
  <dcterms:modified xsi:type="dcterms:W3CDTF">2026-07-28T21:25:54+03:00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