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مكة الواشحي
</w:t>
      </w:r>
    </w:p>
    <w:p>
      <w:pPr>
        <w:jc w:val="start"/>
        <w:bidi/>
      </w:pPr>
      <w:r>
        <w:rPr>
          <w:rFonts w:ascii="arial" w:hAnsi="arial" w:eastAsia="arial" w:cs="arial"/>
          <w:sz w:val="28"/>
          <w:szCs w:val="28"/>
          <w:b w:val="1"/>
          <w:bCs w:val="1"/>
          <w:rtl/>
        </w:rPr>
        <w:t xml:space="preserve">قاضي مكة الواشحي
</w:t>
      </w:r>
    </w:p>
    <w:p>
      <w:pPr/>
      <w:r>
        <w:rPr/>
        <w:t xml:space="preserve">قاضي مكة الواشحي سليمان بن حرب بن نجيل أبو أيوب الأزدي الواشحي البصري، قاضي مكة. سمع شعبة والحمادين وجبير بن حازم ويزيد بن إبراهيم التستري ومبارك بن فضالة وملازم بن عمر وحوشب بن عقيل ووهيب بن خالد والأسود بن شيبان، روى عنه البخاري وأبو داود وروى أبو داود أيضا والباقون عن رجل عنه، ويحيى القطان وأحمد بن حنبل وابن راهويه وأبو زرعة وأبو حاتم والحارث ابن أبي أسامة وإبراهيم الحربي وعباس الدوري وجماعة، قال أبو حاتم: هو إمام لا يدلس. ويتكلم في الرجال، قرأ الفقه وليس هو بدون عفان وقد ظهر من حديثه نحو عشرة آلاف حديث وما رأيت في يده كتابا قط وحضرت مجلسه ببغداد فحزر الحاضرون بأربعين ألفا، بني له شبه منبر بجنب قصر المأمون فصعده وحضر المأمون والقواد وبقي المأمون يكتب ما يملي من وراء ستر شف. وتوفي سنة أربع وعشرين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2026-08-25T10:57:06+03:00</dcterms:created>
  <dcterms:modified xsi:type="dcterms:W3CDTF">2026-08-25T10:57:06+03:00</dcterms:modified>
</cp:coreProperties>
</file>

<file path=docProps/custom.xml><?xml version="1.0" encoding="utf-8"?>
<Properties xmlns="http://schemas.openxmlformats.org/officeDocument/2006/custom-properties" xmlns:vt="http://schemas.openxmlformats.org/officeDocument/2006/docPropsVTypes"/>
</file>