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الهائم
</w:t>
      </w:r>
    </w:p>
    <w:p>
      <w:pPr>
        <w:jc w:val="start"/>
        <w:bidi/>
      </w:pPr>
      <w:r>
        <w:rPr>
          <w:rFonts w:ascii="arial" w:hAnsi="arial" w:eastAsia="arial" w:cs="arial"/>
          <w:sz w:val="28"/>
          <w:szCs w:val="28"/>
          <w:b w:val="1"/>
          <w:bCs w:val="1"/>
          <w:rtl/>
        </w:rPr>
        <w:t xml:space="preserve">ابن الهائم
</w:t>
      </w:r>
    </w:p>
    <w:p>
      <w:pPr/>
      <w:r>
        <w:rPr/>
        <w:t xml:space="preserve">ابن الهائم  محمد بن أحمد بن محمد بن عماد، ابو الفتح، محب الدين ابن الهائم: فاضل مصري الاصل، مقدسي الاقامة والوفاة. اشتغل بالفقه والحديث، وخرج لنفسه ولغيره. ومات في حياة والده (المتقدمة ترجمته) له (الغرر المضية في شرح نظم الدرر السنية –خ) وهو شرح لالفية العراقي في نظم السيرة النبوية. </w:t>
      </w:r>
    </w:p>
    <w:p>
      <w:pPr>
        <w:jc w:val="start"/>
        <w:bidi/>
      </w:pPr>
      <w:r>
        <w:rPr>
          <w:sz w:val="24"/>
          <w:szCs w:val="24"/>
          <w:b w:val="1"/>
          <w:bCs w:val="1"/>
          <w:rtl/>
        </w:rPr>
        <w:t xml:space="preserve">
الأعلام،(دار العلم للملايين - بيروت،2002،ط 15،ج 5،ص 329)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2026-07-29T03:04:29+03:00</dcterms:created>
  <dcterms:modified xsi:type="dcterms:W3CDTF">2026-07-29T03:04:29+03:00</dcterms:modified>
</cp:coreProperties>
</file>

<file path=docProps/custom.xml><?xml version="1.0" encoding="utf-8"?>
<Properties xmlns="http://schemas.openxmlformats.org/officeDocument/2006/custom-properties" xmlns:vt="http://schemas.openxmlformats.org/officeDocument/2006/docPropsVTypes"/>
</file>