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التلمساني
</w:t>
      </w:r>
    </w:p>
    <w:p>
      <w:pPr>
        <w:jc w:val="start"/>
        <w:bidi/>
      </w:pPr>
      <w:r>
        <w:rPr>
          <w:rFonts w:ascii="arial" w:hAnsi="arial" w:eastAsia="arial" w:cs="arial"/>
          <w:sz w:val="28"/>
          <w:szCs w:val="28"/>
          <w:b w:val="1"/>
          <w:bCs w:val="1"/>
          <w:rtl/>
        </w:rPr>
        <w:t xml:space="preserve">الشريف التلمساني
</w:t>
      </w:r>
    </w:p>
    <w:p>
      <w:pPr/>
      <w:r>
        <w:rPr/>
        <w:t xml:space="preserve">الشريف التلمساني  محمد بن أحمد بن على الادريسي الحسني، ابو عبد الله العلويني المعروف بالشريف التلمساني: باحث من اعلام المالكية، انتهت اليه امامتهم بالمغرب. كان من قرية تسمى العلوين (من اعمال تلمسان) ونشأ بتلمسان، ورحل إلى فاس مع السلطان ابي عنان. ثم نكبه او عنان، واعتقله شهرا، واطلقه (سنة 756) واقصاه. ثم اعاده وقربه (سنة 759) ودعى إلى تلمسان، وكان قد استولى عليها ابو حمو (موسى بن يوسف) فذهب اليها، وزوجه (ابو حمو) ابنته، وبنى له مدرسة اقام يدرس فيها الىان توفي. من كتبه (المفتاح) في اصول الفقه، و (شرح جمل الخونجي) وكان لسان الدين ابن الخطيب كلما الف كتابا بعثه اليه وعرضه عليه. وللونشريشي جزء من ترجمته سماه (القول المنيف في ترجمة الامام ابي عبد الله الشريف).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2026-10-03T04:53:19+03:00</dcterms:created>
  <dcterms:modified xsi:type="dcterms:W3CDTF">2026-10-03T04:53:19+03:00</dcterms:modified>
</cp:coreProperties>
</file>

<file path=docProps/custom.xml><?xml version="1.0" encoding="utf-8"?>
<Properties xmlns="http://schemas.openxmlformats.org/officeDocument/2006/custom-properties" xmlns:vt="http://schemas.openxmlformats.org/officeDocument/2006/docPropsVTypes"/>
</file>