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الغرناطي
</w:t>
      </w:r>
    </w:p>
    <w:p>
      <w:pPr>
        <w:jc w:val="start"/>
        <w:bidi/>
      </w:pPr>
      <w:r>
        <w:rPr>
          <w:rFonts w:ascii="arial" w:hAnsi="arial" w:eastAsia="arial" w:cs="arial"/>
          <w:sz w:val="28"/>
          <w:szCs w:val="28"/>
          <w:b w:val="1"/>
          <w:bCs w:val="1"/>
          <w:rtl/>
        </w:rPr>
        <w:t xml:space="preserve">الشريف الغرناطي
</w:t>
      </w:r>
    </w:p>
    <w:p>
      <w:pPr/>
      <w:r>
        <w:rPr/>
        <w:t xml:space="preserve">الشريف الغرناطي  محمد بن أحمد بن محمد الحسيني، ابو القاسم، المعروف بالشريف: قاض اندلسي. من الفضلاء الادباء ولد ونشأ بسبتة وولى ديوان الانشاء بغرناطة، ثم القضاء الخطابة فيها. وولى القضاء وادي آش، ثم اعيد إلى غرناطة وتوفي بها وهو على قضائها. له ديوان شعر سماه (جهد المقل) وشروح في الادب والنحو، منها (شرح مقصورة ابن حازم) سماه (رفع الحجب المنشورة على محاسن المقصورة –ط) و (شرح الخزرجية) في العروض. قال ابن قنفذ: لم يكن بعده احد مثله في الاندلس. </w:t>
      </w:r>
    </w:p>
    <w:p>
      <w:pPr>
        <w:jc w:val="start"/>
        <w:bidi/>
      </w:pPr>
      <w:r>
        <w:rPr>
          <w:sz w:val="24"/>
          <w:szCs w:val="24"/>
          <w:b w:val="1"/>
          <w:bCs w:val="1"/>
          <w:rtl/>
        </w:rPr>
        <w:t xml:space="preserve">
الأعلام،(دار العلم للملايين - بيروت،2002،ط 15،ج 5،ص 327)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2026-10-03T04:53:14+03:00</dcterms:created>
  <dcterms:modified xsi:type="dcterms:W3CDTF">2026-10-03T04:53:14+03:00</dcterms:modified>
</cp:coreProperties>
</file>

<file path=docProps/custom.xml><?xml version="1.0" encoding="utf-8"?>
<Properties xmlns="http://schemas.openxmlformats.org/officeDocument/2006/custom-properties" xmlns:vt="http://schemas.openxmlformats.org/officeDocument/2006/docPropsVTypes"/>
</file>