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القسطلاني
</w:t>
      </w:r>
    </w:p>
    <w:p>
      <w:pPr>
        <w:jc w:val="start"/>
        <w:bidi/>
      </w:pPr>
      <w:r>
        <w:rPr>
          <w:rFonts w:ascii="arial" w:hAnsi="arial" w:eastAsia="arial" w:cs="arial"/>
          <w:sz w:val="28"/>
          <w:szCs w:val="28"/>
          <w:b w:val="1"/>
          <w:bCs w:val="1"/>
          <w:rtl/>
        </w:rPr>
        <w:t xml:space="preserve">القسطلاني
</w:t>
      </w:r>
    </w:p>
    <w:p>
      <w:pPr/>
      <w:r>
        <w:rPr/>
        <w:t xml:space="preserve">القسطلاني  محمد بن أحمد بن على القيسي الشاطبي، أبو بكر، قطب الدين التوزري القسطلاني: عالم بالحديث ورجاله. أصله من توزر (بافريقية) من بلاد قسطيلية، ومولده بمصر، ومنشأه بمكة. قام برحلة سنة 649 فأخذ عن علماء بغداد والجزيرة والشام ومصر. وطلب من مكة، فتولي مشيخة دار الحديث الكاملية بالقاهرة إلى أن توفي. له ’’ الإفصاح عن المعجم من الغانض والمبهم ’’ في أسانيد رجال الحديث، رتبه على الحروف و’’اقتداء الغافل باهتداء العاقل –خ’’ تصوف، ورسالة في ’’تفسير آيات من القرآن الكريم –خ’’ و’’لسان البان عن اعتقاد الجنان –خ’’ و’’مرصد الصلات في مقاصد الصلاة –ط’’. </w:t>
      </w:r>
    </w:p>
    <w:p>
      <w:pPr>
        <w:jc w:val="start"/>
        <w:bidi/>
      </w:pPr>
      <w:r>
        <w:rPr>
          <w:sz w:val="24"/>
          <w:szCs w:val="24"/>
          <w:b w:val="1"/>
          <w:bCs w:val="1"/>
          <w:rtl/>
        </w:rPr>
        <w:t xml:space="preserve">
الأعلام،(دار العلم للملايين - بيروت،2002،ط 15،ج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2026-10-03T03:48:16+03:00</dcterms:created>
  <dcterms:modified xsi:type="dcterms:W3CDTF">2026-10-03T03:48:16+03:00</dcterms:modified>
</cp:coreProperties>
</file>

<file path=docProps/custom.xml><?xml version="1.0" encoding="utf-8"?>
<Properties xmlns="http://schemas.openxmlformats.org/officeDocument/2006/custom-properties" xmlns:vt="http://schemas.openxmlformats.org/officeDocument/2006/docPropsVTypes"/>
</file>