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البيكندي
</w:t>
      </w:r>
    </w:p>
    <w:p>
      <w:pPr>
        <w:jc w:val="start"/>
        <w:bidi/>
      </w:pPr>
      <w:r>
        <w:rPr>
          <w:rFonts w:ascii="arial" w:hAnsi="arial" w:eastAsia="arial" w:cs="arial"/>
          <w:sz w:val="28"/>
          <w:szCs w:val="28"/>
          <w:b w:val="1"/>
          <w:bCs w:val="1"/>
          <w:rtl/>
        </w:rPr>
        <w:t xml:space="preserve">البيكندي
</w:t>
      </w:r>
    </w:p>
    <w:p>
      <w:pPr/>
      <w:r>
        <w:rPr/>
        <w:t xml:space="preserve">البيكندي  محمد بن أحمد بن حامد البيكندي، أبو جعفر: عالم بالكلام على مذهب المعتزلة، داعية إلى الاعتزال. من أهل بخارى. يعرف بقاضي حلب. زار مصر، وناظر بعض علماء الإسماعيلية. ومنع من دخول بغداد، ثم دخلها واستوطنها وتوفي بها. من كتبه ’’تحقيق الرسالة بأوضح الدلالة’’ في النبوات، و’’ الهدى والإرشاد’’ في الرد على مقدم الإسماعيلية بمصر أبي نصر هبة الله، و’’الرسالة المسعودية). </w:t>
      </w:r>
    </w:p>
    <w:p>
      <w:pPr>
        <w:jc w:val="start"/>
        <w:bidi/>
      </w:pPr>
      <w:r>
        <w:rPr>
          <w:sz w:val="24"/>
          <w:szCs w:val="24"/>
          <w:b w:val="1"/>
          <w:bCs w:val="1"/>
          <w:rtl/>
        </w:rPr>
        <w:t xml:space="preserve">
الأعلام،(دار العلم للملايين - بيروت،2002،ط 15،ج 5،ص 315)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البيكندي، قاضي حلب
</w:t>
      </w:r>
    </w:p>
    <w:p>
      <w:pPr/>
      <w:r>
        <w:rPr/>
        <w:t xml:space="preserve">محمد بن أحمد البيكندي، قاضي حلب ومحمد بن أحمد بن حامد بن عبيد، أبو جعفرالقاضي البيكندي.</w:t>
      </w:r>
    </w:p>
    <w:p/>
    <w:p>
      <w:pPr/>
      <w:r>
        <w:rPr/>
        <w:t xml:space="preserve">حدث عن الهروي، وادعى السماع من إسماعيل الكشاني، فكذب.</w:t>
      </w:r>
    </w:p>
    <w:p/>
    <w:p>
      <w:pPr/>
      <w:r>
        <w:rPr/>
        <w:t xml:space="preserve">وكان عارفا بعلم الكلام، ومهر في النظر.</w:t>
      </w:r>
    </w:p>
    <w:p/>
    <w:p>
      <w:pPr/>
      <w:r>
        <w:rPr/>
        <w:t xml:space="preserve">مولده سنة اثنتين أو أربع وتسعين وثلاثمائة.</w:t>
      </w:r>
    </w:p>
    <w:p/>
    <w:p>
      <w:pPr/>
      <w:r>
        <w:rPr/>
        <w:t xml:space="preserve">قال ابن العديم: كان فقيها حنفيا.</w:t>
      </w:r>
    </w:p>
    <w:p/>
    <w:p>
      <w:pPr/>
      <w:r>
        <w:rPr/>
        <w:t xml:space="preserve">قرأ ببلده ’’المبسوط’’ وشرحه، والخلافيات، ودار بخراسان في سنة أربع عشرة وأربعمائة على من بقي من المشايخ. وناظر بمصر مع جماعة، منهم المقدم في مذهب الإسماعيلية أبو نصر هبة الله، ورد عليه في كتاب سماه ’’الهدى والإرشاد لأهل الحيرة والعناد’’.</w:t>
      </w:r>
    </w:p>
    <w:p/>
    <w:p>
      <w:pPr/>
      <w:r>
        <w:rPr/>
        <w:t xml:space="preserve">ومن تصانيفه:’’الرسالة المسعودية في المباحث النفيسية’’ وكتاب ’’تحقيق الرسالة بأوضح الدلالة’’ توفي يوم الثلاثاء، رابع المحرم سنة اثنتين وثمانين وأربعمائة.</w:t>
      </w:r>
    </w:p>
    <w:p>
      <w:pPr>
        <w:jc w:val="start"/>
        <w:bidi/>
      </w:pPr>
      <w:r>
        <w:rPr>
          <w:sz w:val="24"/>
          <w:szCs w:val="24"/>
          <w:b w:val="1"/>
          <w:bCs w:val="1"/>
          <w:rtl/>
        </w:rPr>
        <w:t xml:space="preserve">
تاج التراجم في طبقات الحنفية،(دار القلم - دمشق،1992،ط 1،ج 1،ص 254)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2026-10-03T02:57:55+03:00</dcterms:created>
  <dcterms:modified xsi:type="dcterms:W3CDTF">2026-10-03T02:57:55+03:00</dcterms:modified>
</cp:coreProperties>
</file>

<file path=docProps/custom.xml><?xml version="1.0" encoding="utf-8"?>
<Properties xmlns="http://schemas.openxmlformats.org/officeDocument/2006/custom-properties" xmlns:vt="http://schemas.openxmlformats.org/officeDocument/2006/docPropsVTypes"/>
</file>