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المقدسي
</w:t>
      </w:r>
    </w:p>
    <w:p>
      <w:pPr>
        <w:jc w:val="start"/>
        <w:bidi/>
      </w:pPr>
      <w:r>
        <w:rPr>
          <w:rFonts w:ascii="arial" w:hAnsi="arial" w:eastAsia="arial" w:cs="arial"/>
          <w:sz w:val="28"/>
          <w:szCs w:val="28"/>
          <w:b w:val="1"/>
          <w:bCs w:val="1"/>
          <w:rtl/>
        </w:rPr>
        <w:t xml:space="preserve">المقدسي
</w:t>
      </w:r>
    </w:p>
    <w:p>
      <w:pPr/>
      <w:r>
        <w:rPr/>
        <w:t xml:space="preserve">المقدسي  محمد بن أحمد بن أبي بكر البناء، المقدسي ويقال له البشاري، شمس الدين، أبو عبد الله: رحالة جغرافي. ولد في القدس. وتعاطى التجارة، فتجشم أسفارا هيأت له المعرفة بغوامض أحوال البلاد، ثم انقطع إلى تتبع ذلك، فطاف أكثر بلاد الإسلام، وصنف كتابه ’’ أحسن التقاسيم في معرفة الأقاليم –ط’’ قال المستشرق غلدميستر (Gildmeister): امتاز المقدسي عن سائر علماء البلدان بكثرة ملاحظاته وسعة نظره. وقال سبرنغر(Sprenger): لم يتجول سائح في البلاد كما تجول المقدسي، ولم ينتبه أحد أو يحسن ترتيب ما علم به مثله. </w:t>
      </w:r>
    </w:p>
    <w:p>
      <w:pPr>
        <w:jc w:val="start"/>
        <w:bidi/>
      </w:pPr>
      <w:r>
        <w:rPr>
          <w:sz w:val="24"/>
          <w:szCs w:val="24"/>
          <w:b w:val="1"/>
          <w:bCs w:val="1"/>
          <w:rtl/>
        </w:rPr>
        <w:t xml:space="preserve">
الأعلام،(دار العلم للملايين - بيروت،2002،ط 15،ج 5،ص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2026-10-03T01:46:15+03:00</dcterms:created>
  <dcterms:modified xsi:type="dcterms:W3CDTF">2026-10-03T01:46:15+03:00</dcterms:modified>
</cp:coreProperties>
</file>

<file path=docProps/custom.xml><?xml version="1.0" encoding="utf-8"?>
<Properties xmlns="http://schemas.openxmlformats.org/officeDocument/2006/custom-properties" xmlns:vt="http://schemas.openxmlformats.org/officeDocument/2006/docPropsVTypes"/>
</file>