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التستري
</w:t>
      </w:r>
    </w:p>
    <w:p>
      <w:pPr>
        <w:jc w:val="start"/>
        <w:bidi/>
      </w:pPr>
      <w:r>
        <w:rPr>
          <w:rFonts w:ascii="arial" w:hAnsi="arial" w:eastAsia="arial" w:cs="arial"/>
          <w:sz w:val="28"/>
          <w:szCs w:val="28"/>
          <w:b w:val="1"/>
          <w:bCs w:val="1"/>
          <w:rtl/>
        </w:rPr>
        <w:t xml:space="preserve">التستري
</w:t>
      </w:r>
    </w:p>
    <w:p>
      <w:pPr/>
      <w:r>
        <w:rPr/>
        <w:t xml:space="preserve">التستري  محمد بن أحمد بن محمد بن عمرو، أبو عبد الله التستري: قاض من أهل البصرة. من أرقاب سهل بن عبد الله التستري العابد المشهور. كان عالما بمذهب مالك، وصنف في ’’ مناقبه ’’ نحو عشرين جزءا. قال القاضي عياض في ترتيب المدارك: طالعتها وانتقيت في هذا الكتاب، في أخبار مالك، عيونها، وله كتاب في ’’ فضائل أهل المدينة ’’ وكان قد ندب لتفقيه أهلها وأقام بها زمنا. وعاد إلى البصرة فتقلد قضاءها مدة وصرف. وجرت له مع المعتزلة أقاصيص (كما يقول عياض) ونبت به الدار، فقصد بغداد، فمات بها عام وصوله إليها. </w:t>
      </w:r>
    </w:p>
    <w:p>
      <w:pPr>
        <w:jc w:val="start"/>
        <w:bidi/>
      </w:pPr>
      <w:r>
        <w:rPr>
          <w:sz w:val="24"/>
          <w:szCs w:val="24"/>
          <w:b w:val="1"/>
          <w:bCs w:val="1"/>
          <w:rtl/>
        </w:rPr>
        <w:t xml:space="preserve">
الأعلام،(دار العلم للملايين - بيروت،2002،ط 15،ج 5،ص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2026-10-03T00:58:04+03:00</dcterms:created>
  <dcterms:modified xsi:type="dcterms:W3CDTF">2026-10-03T00:58:04+03:00</dcterms:modified>
</cp:coreProperties>
</file>

<file path=docProps/custom.xml><?xml version="1.0" encoding="utf-8"?>
<Properties xmlns="http://schemas.openxmlformats.org/officeDocument/2006/custom-properties" xmlns:vt="http://schemas.openxmlformats.org/officeDocument/2006/docPropsVTypes"/>
</file>