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الكاتب ابن أبي يعقوب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الكاتب ابن أبي يعقوب
</w:t>
      </w:r>
    </w:p>
    <w:p>
      <w:pPr/>
      <w:r>
        <w:rPr/>
        <w:t xml:space="preserve">الكاتب ابن أبي يعقوب داود بن علي بن داود الكاتب، هو ابن أبي يعقوب بن داود وزير المهدي، قال يرثي الحسن بن علي صاحب فج: </w:t>
      </w:r>
    </w:p>
    <w:p/>
    <w:p>
      <w:pPr>
        <w:jc w:val="center"/>
      </w:pPr>
      <w:r>
        <w:rPr>
          <w:color w:val="ff0000"/>
        </w:rPr>
        <w:t xml:space="preserve">يا عين جودي بدمع منك مهتتن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فقد رأيت الذي لاقى بنو حسن</w:t>
      </w:r>
    </w:p>
    <w:p/>
    <w:p>
      <w:pPr>
        <w:jc w:val="center"/>
      </w:pPr>
      <w:r>
        <w:rPr>
          <w:color w:val="ff0000"/>
        </w:rPr>
        <w:t xml:space="preserve">صرعى بفج تجر الريح فوقهم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أذيالها وغوادي دلج المزن</w:t>
      </w:r>
    </w:p>
    <w:p/>
    <w:p>
      <w:pPr>
        <w:jc w:val="center"/>
      </w:pPr>
      <w:r>
        <w:rPr>
          <w:color w:val="ff0000"/>
        </w:rPr>
        <w:t xml:space="preserve">حتى عفت أعظما لو كان شاهدها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محمد ذب عنها ثم لم تهن</w:t>
      </w:r>
    </w:p>
    <w:p/>
    <w:p>
      <w:pPr>
        <w:jc w:val="center"/>
      </w:pPr>
      <w:r>
        <w:rPr>
          <w:color w:val="ff0000"/>
        </w:rPr>
        <w:t xml:space="preserve">ماذا يقولون والماضون قبلهم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العداوة والشحناء والإحن</w:t>
      </w:r>
    </w:p>
    <w:p/>
    <w:p>
      <w:pPr>
        <w:jc w:val="center"/>
      </w:pPr>
      <w:r>
        <w:rPr>
          <w:color w:val="ff0000"/>
        </w:rPr>
        <w:t xml:space="preserve">ماذا صنعنا إذا قال الرسول 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ماذا صنعتم بنا في سالف الزمن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2026-07-28T16:52:04+03:00</dcterms:created>
  <dcterms:modified xsi:type="dcterms:W3CDTF">2026-07-28T16:52:04+03:00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