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الوشاء
</w:t>
      </w:r>
    </w:p>
    <w:p>
      <w:pPr>
        <w:jc w:val="start"/>
        <w:bidi/>
      </w:pPr>
      <w:r>
        <w:rPr>
          <w:rFonts w:ascii="arial" w:hAnsi="arial" w:eastAsia="arial" w:cs="arial"/>
          <w:sz w:val="28"/>
          <w:szCs w:val="28"/>
          <w:b w:val="1"/>
          <w:bCs w:val="1"/>
          <w:rtl/>
        </w:rPr>
        <w:t xml:space="preserve">الوشاء
</w:t>
      </w:r>
    </w:p>
    <w:p>
      <w:pPr/>
      <w:r>
        <w:rPr/>
        <w:t xml:space="preserve">الوشاء  محمد بن أحمد بن إسحاق بن يحيى، أبو الطيب، المعروف بالوشاء: عالم بالأدب. من أهل بغداد. كان يحترف التعليم. من كتبه ’’الجامع’’ في النحو، و’’خلق الإنسان’’ و’’ زهرة الرياض’’ في الأدب، عشر مجلدات، و’’الموشح’’ و’’أخبار المتظرفات’’ و’’الحنين إلى الأوطان ’’ و’’الفاضل من الأدب الكامل –خ’’ و’’الموشى-ط’’ أضاف إليه ناشره كلمة ’’ في الظرف والظرفاء’’ وليست من اسم الكتاب.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الوشاء النحوي
</w:t>
      </w:r>
    </w:p>
    <w:p>
      <w:pPr/>
      <w:r>
        <w:rPr/>
        <w:t xml:space="preserve">الوشاء النحوي محمد بن أحمد بن اسحق بن يحيى الوشاء أبو الطيب النحوي. من أهل الأدب حسن التصنيف مليح التأليف إخباري، توفي سنة خمس وعشرين وثلث ماية، وله ابن يعرف بابن الوشاء، كذا قال ياقوت: محمد بن أحمد الوشاء، وقال الشيخ شمس الدين: محمد بن محمد بن اسحق بن يحيى العلامة أبو الطيب الوشاء الإخباري أخذ عن ثعلب والمبرد وبرع في فنون الأدب وألف كتبا كثيرة، وقال ياقوت: أخذ الوشاء عن أحمد بن عبيد بن ناصح والحرث بن أبي أسامة وثعلب والمبرد، وقال الخطيب: روت عنه منية جارية خلافة أم ولد المعتمد، قال محمد بن اسحق النديم: كان نحويا معلما لمكتب العامة وكان يعرف بالأعرابي وله من الكتب: الجامع في النحو، كتاب مختصر في النحو، المقصور والممدود، المذكر والمؤنث، كتاب الفرق، خلق الإنسان، خلق الفرس، المثلث، أخبار صاحب الزنج، الزاهر في الأنوار والزهر، كتاب السلوان، المذهب، الموشح، سلسة الذهب، أخبار المتظرفات، الحنين إلى الأوطان، حدود الطرف الكبير، الموشى، ومن شعره: </w:t>
      </w:r>
    </w:p>
    <w:p/>
    <w:p>
      <w:pPr>
        <w:jc w:val="center"/>
      </w:pPr>
      <w:r>
        <w:rPr>
          <w:color w:val="ff0000"/>
        </w:rPr>
        <w:t xml:space="preserve">لا صبر لي عنك سوى أنني</w:t>
      </w:r>
      <w:r>
        <w:rPr>
          <w:color w:val="ff0000"/>
        </w:rPr>
        <w:t xml:space="preserve">      </w:t>
      </w:r>
      <w:r>
        <w:rPr>
          <w:color w:val="ff0000"/>
        </w:rPr>
        <w:t xml:space="preserve">أرضى من الدهر بما يقدر </w:t>
      </w:r>
    </w:p>
    <w:p/>
    <w:p>
      <w:pPr>
        <w:jc w:val="center"/>
      </w:pPr>
      <w:r>
        <w:rPr>
          <w:color w:val="ff0000"/>
        </w:rPr>
        <w:t xml:space="preserve">من كان ذا صبر فلا صبر لي</w:t>
      </w:r>
      <w:r>
        <w:rPr>
          <w:color w:val="ff0000"/>
        </w:rPr>
        <w:t xml:space="preserve">      </w:t>
      </w:r>
      <w:r>
        <w:rPr>
          <w:color w:val="ff0000"/>
        </w:rPr>
        <w:t xml:space="preserve">مثلي عن مثلك لا يصبر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الوشاء النحوي
</w:t>
      </w:r>
    </w:p>
    <w:p>
      <w:pPr/>
      <w:r>
        <w:rPr/>
        <w:t xml:space="preserve">الوشاء النحوي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إسحاق بن يحيى الوشاء أبو الطيب النحوي
</w:t>
      </w:r>
    </w:p>
    <w:p>
      <w:pPr/>
      <w:r>
        <w:rPr/>
        <w:t xml:space="preserve">محمد بن أحمد بن إسحاق بن يحيى الوشاء أبو الطيب النحوي: من أهل الأدب حسن التصنيف مليح التأليف أخباري.</w:t>
      </w:r>
    </w:p>
    <w:p/>
    <w:p>
      <w:pPr/>
      <w:r>
        <w:rPr/>
        <w:t xml:space="preserve">قال أبو الفرج عبد الرحمن بن علي بن الجوزي في «تاريخه»: مات أبو الطيب الوشاء سنة خمس وعشرين وثلاثمائة وله ابن يعرف بابن الوشاء؛ حدث الوشاء عن أحمد بن عبيد بن ناصح والحارث بن أبي أسامة وثعلب والمبرد.</w:t>
      </w:r>
    </w:p>
    <w:p/>
    <w:p>
      <w:pPr/>
      <w:r>
        <w:rPr/>
        <w:t xml:space="preserve">قال الخطيب: روت عنه منية جارية خلافة أم ولد المعتمد.</w:t>
      </w:r>
    </w:p>
    <w:p/>
    <w:p>
      <w:pPr/>
      <w:r>
        <w:rPr/>
        <w:t xml:space="preserve">قال ابن النديم: وكان نحويا معلما لمكتب العامة وكان يعرف بالأعرابي. وله من الكتب: كتاب مختصر في النحو. كتاب الجامع في النحو. كتاب في المقصور والممدود. كتاب المذكر والمؤنث. كتاب الفرق. كتاب خلق الانسان. كتاب خلق</w:t>
      </w:r>
    </w:p>
    <w:p/>
    <w:p>
      <w:pPr/>
      <w:r>
        <w:rPr/>
        <w:t xml:space="preserve">الفرس. كتاب المثلث. كتاب أخبار صاحب الزنج. كتاب الزاهر في الأنوار والزهر. كتاب السلوان. كتاب المذهب. كتاب الموشح. كتاب سلسلة الذهب. كتاب أخبار المتظرفات. كتاب الحنين إلى الأوطان. كتاب حدود الطرف الكبير. كتاب الموشى .</w:t>
      </w:r>
    </w:p>
    <w:p/>
    <w:p>
      <w:pPr/>
      <w:r>
        <w:rPr/>
        <w:t xml:space="preserve">نقلت من خط أبي عمرو محمد بن أحمد النوقاتي أنشدني الشافعي أحمد بن محمد أنشدني أحمد بن محمد بن حفص، أنشدني أبو الطيب الوشاء لنفسه:</w:t>
      </w:r>
    </w:p>
    <w:p/>
    <w:p>
      <w:pPr>
        <w:jc w:val="center"/>
      </w:pPr>
      <w:r>
        <w:rPr>
          <w:color w:val="ff0000"/>
        </w:rPr>
        <w:t xml:space="preserve">لا صبر لي عنك سوى أنني</w:t>
      </w:r>
      <w:r>
        <w:rPr>
          <w:color w:val="ff0000"/>
        </w:rPr>
        <w:t xml:space="preserve">      </w:t>
      </w:r>
      <w:r>
        <w:rPr>
          <w:color w:val="ff0000"/>
        </w:rPr>
        <w:t xml:space="preserve">أرضى من الدهر بما يقدر</w:t>
      </w:r>
    </w:p>
    <w:p/>
    <w:p>
      <w:pPr>
        <w:jc w:val="center"/>
      </w:pPr>
      <w:r>
        <w:rPr>
          <w:color w:val="ff0000"/>
        </w:rPr>
        <w:t xml:space="preserve">من كان ذا صبر فلا صبر لي</w:t>
      </w:r>
      <w:r>
        <w:rPr>
          <w:color w:val="ff0000"/>
        </w:rPr>
        <w:t xml:space="preserve">      </w:t>
      </w:r>
      <w:r>
        <w:rPr>
          <w:color w:val="ff0000"/>
        </w:rPr>
        <w:t xml:space="preserve">مثلي عن مثلك لا يصبر</w:t>
      </w:r>
    </w:p>
    <w:p/>
    <w:p>
      <w:pPr/>
      <w:r>
        <w:rPr/>
        <w:t xml:space="preserve">ومن خطه وإسناده للوشاء:</w:t>
      </w:r>
    </w:p>
    <w:p/>
    <w:p>
      <w:pPr>
        <w:jc w:val="center"/>
      </w:pPr>
      <w:r>
        <w:rPr>
          <w:color w:val="ff0000"/>
        </w:rPr>
        <w:t xml:space="preserve">يا من يقوم مقام الروح في الجسد</w:t>
      </w:r>
      <w:r>
        <w:rPr>
          <w:color w:val="ff0000"/>
        </w:rPr>
        <w:t xml:space="preserve">      </w:t>
      </w:r>
      <w:r>
        <w:rPr>
          <w:color w:val="ff0000"/>
        </w:rPr>
        <w:t xml:space="preserve">لا تحسبني خلي البال من سهد</w:t>
      </w:r>
    </w:p>
    <w:p/>
    <w:p>
      <w:pPr>
        <w:jc w:val="center"/>
      </w:pPr>
      <w:r>
        <w:rPr>
          <w:color w:val="ff0000"/>
        </w:rPr>
        <w:t xml:space="preserve">حاشاك من أرقي حاشاك من قلقي</w:t>
      </w:r>
      <w:r>
        <w:rPr>
          <w:color w:val="ff0000"/>
        </w:rPr>
        <w:t xml:space="preserve">      </w:t>
      </w:r>
      <w:r>
        <w:rPr>
          <w:color w:val="ff0000"/>
        </w:rPr>
        <w:t xml:space="preserve">حاشاك من طول ما ألقى من الكمد</w:t>
      </w:r>
    </w:p>
    <w:p/>
    <w:p>
      <w:pPr>
        <w:jc w:val="center"/>
      </w:pPr>
      <w:r>
        <w:rPr>
          <w:color w:val="ff0000"/>
        </w:rPr>
        <w:t xml:space="preserve">حزني عليك جديد لا نفاد له</w:t>
      </w:r>
      <w:r>
        <w:rPr>
          <w:color w:val="ff0000"/>
        </w:rPr>
        <w:t xml:space="preserve">      </w:t>
      </w:r>
      <w:r>
        <w:rPr>
          <w:color w:val="ff0000"/>
        </w:rPr>
        <w:t xml:space="preserve">أوهى فؤادي وأوهى عقدة الجلد</w:t>
      </w:r>
    </w:p>
    <w:p/>
    <w:p>
      <w:pPr>
        <w:jc w:val="center"/>
      </w:pPr>
      <w:r>
        <w:rPr>
          <w:color w:val="ff0000"/>
        </w:rPr>
        <w:t xml:space="preserve">والصبر عنك قليل مضرم قلقا</w:t>
      </w:r>
      <w:r>
        <w:rPr>
          <w:color w:val="ff0000"/>
        </w:rPr>
        <w:t xml:space="preserve">      </w:t>
      </w:r>
      <w:r>
        <w:rPr>
          <w:color w:val="ff0000"/>
        </w:rPr>
        <w:t xml:space="preserve">بين الضلوع كصبر الأم عن ولد</w:t>
      </w:r>
    </w:p>
    <w:p/>
    <w:p>
      <w:pPr>
        <w:jc w:val="start"/>
        <w:bidi/>
      </w:pPr>
      <w:r>
        <w:rPr>
          <w:sz w:val="24"/>
          <w:szCs w:val="24"/>
          <w:b w:val="1"/>
          <w:bCs w:val="1"/>
          <w:rtl/>
        </w:rPr>
        <w:t xml:space="preserve">
معجم الأدباء / إرشاد الأريب إلى معرفة الأديب،(دار الغرب الإسلامي - بيروت،1993،ط 0،ج 5،ص 2303)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الوشاء
</w:t>
      </w:r>
    </w:p>
    <w:p>
      <w:pPr/>
      <w:r>
        <w:rPr/>
        <w:t xml:space="preserve">أبو الطيب الوشاء </w:t>
      </w:r>
    </w:p>
    <w:p/>
    <w:p>
      <w:pPr/>
      <w:r>
        <w:rPr/>
        <w:t xml:space="preserve">وأما أبو الطيب محمد بن أحمد بن إسحاق بن يحيى النحوي، المعروف بابن الوشاء، فإنه كان أديباً فاضلاً، حسن التصنيف، وأخذ عن محمد بن يزيد المبرد، وعن أحمد بن يحيى ثعلب.</w:t>
      </w:r>
    </w:p>
    <w:p>
      <w:pPr>
        <w:jc w:val="start"/>
        <w:bidi/>
      </w:pPr>
      <w:r>
        <w:rPr>
          <w:sz w:val="24"/>
          <w:szCs w:val="24"/>
          <w:b w:val="1"/>
          <w:bCs w:val="1"/>
          <w:rtl/>
        </w:rPr>
        <w:t xml:space="preserve">
نزهة الألباء في طبقات الأدباء،(مكتبة المنار، الزرقاء - الأردن،1985،ط 3،ج 1،ص 223)/(دار الفكر العربي،1998،ط 1،ج 1،ص 260)/(مطبعة المعارف - بغداد،1959،ط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إسحاق بن يحيى أبو الطيب الوشاء النحوي 
</w:t>
      </w:r>
    </w:p>
    <w:p>
      <w:pPr/>
      <w:r>
        <w:rPr/>
        <w:t xml:space="preserve">محمد بن أحمد بن إسحاق بن يحيى، أبو الطيّب الوشّاء النّحويّ. </w:t>
      </w:r>
    </w:p>
    <w:p/>
    <w:p>
      <w:pPr/>
      <w:r>
        <w:rPr/>
        <w:t xml:space="preserve">أديب حسن التصنيف، مليح التأليف. ذكر ابن النّديم تصانيفه فقال:</w:t>
      </w:r>
    </w:p>
    <w:p/>
    <w:p>
      <w:pPr/>
      <w:r>
        <w:rPr/>
        <w:t xml:space="preserve">له من الكتب كتاب مختصر في النّحو، وكتاب الجامع في النّحو، وكتاب المقصور والممدود، وكتاب المذكّر والمؤنّث، وكتاب الفرق، وكتاب خلق الإنسان، وكتاب خلق الفرس، وكتاب المثلّث، وكتاب أخبار صاحب الزّنج، وكتاب الزّاهر في الأنوار والزّهر، وكتاب السّلوان، وكتاب المذهّب، وكتاب الموشّح، وكتاب سلسلة الذهب، وكتاب أخبار المتظرّفات، وكتاب الحنين إلى الأوطان، وكتاب حدود الظّرف، وكتاب الموشّى.</w:t>
      </w:r>
    </w:p>
    <w:p/>
    <w:p>
      <w:pPr/>
      <w:r>
        <w:rPr/>
        <w:t xml:space="preserve">وكانت وفاته في سنة خمس وعشرين وثلاث مائة.</w:t>
      </w:r>
    </w:p>
    <w:p>
      <w:pPr>
        <w:jc w:val="start"/>
        <w:bidi/>
      </w:pPr>
      <w:r>
        <w:rPr>
          <w:sz w:val="24"/>
          <w:szCs w:val="24"/>
          <w:b w:val="1"/>
          <w:bCs w:val="1"/>
          <w:rtl/>
        </w:rPr>
        <w:t xml:space="preserve">
الدر الثمين في أسماء المصنفين،(دار الغرب الإسلامي - تونس،2009،ط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2026-10-03T00:57:07+03:00</dcterms:created>
  <dcterms:modified xsi:type="dcterms:W3CDTF">2026-10-03T00:57:07+03:00</dcterms:modified>
</cp:coreProperties>
</file>

<file path=docProps/custom.xml><?xml version="1.0" encoding="utf-8"?>
<Properties xmlns="http://schemas.openxmlformats.org/officeDocument/2006/custom-properties" xmlns:vt="http://schemas.openxmlformats.org/officeDocument/2006/docPropsVTypes"/>
</file>