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المويلحي
</w:t>
      </w:r>
    </w:p>
    <w:p>
      <w:pPr>
        <w:jc w:val="start"/>
        <w:bidi/>
      </w:pPr>
      <w:r>
        <w:rPr>
          <w:rFonts w:ascii="arial" w:hAnsi="arial" w:eastAsia="arial" w:cs="arial"/>
          <w:sz w:val="28"/>
          <w:szCs w:val="28"/>
          <w:b w:val="1"/>
          <w:bCs w:val="1"/>
          <w:rtl/>
        </w:rPr>
        <w:t xml:space="preserve">محمد المويلحي
</w:t>
      </w:r>
    </w:p>
    <w:p>
      <w:pPr/>
      <w:r>
        <w:rPr/>
        <w:t xml:space="preserve">محمد المويلحي  محمد بن إبراهيم بن عبد الخالق بن إبراهيم المويلحي:أديب، في إنشائه إبداع. اشتهر بكتابه (عيسى بن هشام –ط) ونشر أبحاثا ومقالات كثيرة في كبريات الصحف المصرية. نسبته إلى مويلح ’’من ثغور الحجاز’’ ومولده في القاهرة. تعلم في الأزهر ثم في مدرسة الأنجال (أنجال الخديوي إسماعيل) ونشأ في نعمة، مع والده (السابقة ترجمته)وولى منصبا في وزارة ’’الحقانية’’ بمصر سنة 1881 فاستمر سنتين. ونشبت الثورة العرابية، فكان من رجال، وأصدر منشورا ثوريا. وعزل بعد الثورة، فسافر إلى أوربا والآستانة. ثم عاد إلى مصر، وعمل في تحرير بعض الصحف. وعين معاون إدارة بالقليوبية فالغربية. واستقال. وأنشأ مع أبيه جريدة (مصباح الشرق) سنة 1898 وعين مديرا لإدارة الأوقاف، فظل إلى سنة 1915 واعتزل العمل، فلزم منزله، وألف كتابه الثاني (علاج النفس-ط) وفلج في أواخر أيامه. وتوفي ليلة عيد الفطر في منزله بحلوان (من ضواحي القاهرة).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2026-07-29T09:48:53+03:00</dcterms:created>
  <dcterms:modified xsi:type="dcterms:W3CDTF">2026-07-29T09:48:53+03:00</dcterms:modified>
</cp:coreProperties>
</file>

<file path=docProps/custom.xml><?xml version="1.0" encoding="utf-8"?>
<Properties xmlns="http://schemas.openxmlformats.org/officeDocument/2006/custom-properties" xmlns:vt="http://schemas.openxmlformats.org/officeDocument/2006/docPropsVTypes"/>
</file>