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الرضى
</w:t>
      </w:r>
    </w:p>
    <w:p>
      <w:pPr>
        <w:jc w:val="start"/>
        <w:bidi/>
      </w:pPr>
      <w:r>
        <w:rPr>
          <w:rFonts w:ascii="arial" w:hAnsi="arial" w:eastAsia="arial" w:cs="arial"/>
          <w:sz w:val="28"/>
          <w:szCs w:val="28"/>
          <w:b w:val="1"/>
          <w:bCs w:val="1"/>
          <w:rtl/>
        </w:rPr>
        <w:t xml:space="preserve">ابن أبي الرضى
</w:t>
      </w:r>
    </w:p>
    <w:p>
      <w:pPr/>
      <w:r>
        <w:rPr/>
        <w:t xml:space="preserve">ابن أبي الرضى  أحمد بن عمر بن أبى الرضى، أبو الخير شهاب، شهاب الدين: قاضى، من أهل حماة (فى سورية) ولى القضاء فى حلب ثلاث مرات. وكان عالما بالقراآت، له فيها نظم سماه (عقد البكر) وله منظومات اخرى فى موضوعات متعددة. ثار على الظاهر برقوق، وأنكر سلطنته، فطلبه، فأختفى مدة حج فى أثنائها. وعاد إلى حلب مستخفيا. وقامت فتنة (الناصرى) فى حلب فخرجت عن طاعة برقوق وتولى ابن أبى الرضى قضاءها. ثم كانت بينه وبين نائب حماة (كمشبغا) التابع لبرقوق، واقعة ظفر بها (كمشبغا) بمساعدة أهل حلب وقبض على ابن الرضى وأخذه معه فأعدمه فى خان شيخون(بين المعرة وحماة) قال القاضى علاء الدين فى تاريخ حلب: كان من رجال العالم نجدة وهمه.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2026-09-17T07:16:17+03:00</dcterms:created>
  <dcterms:modified xsi:type="dcterms:W3CDTF">2026-09-17T07:16:17+03:00</dcterms:modified>
</cp:coreProperties>
</file>

<file path=docProps/custom.xml><?xml version="1.0" encoding="utf-8"?>
<Properties xmlns="http://schemas.openxmlformats.org/officeDocument/2006/custom-properties" xmlns:vt="http://schemas.openxmlformats.org/officeDocument/2006/docPropsVTypes"/>
</file>