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مفلح
</w:t>
      </w:r>
    </w:p>
    <w:p>
      <w:pPr>
        <w:jc w:val="start"/>
        <w:bidi/>
      </w:pPr>
      <w:r>
        <w:rPr>
          <w:rFonts w:ascii="arial" w:hAnsi="arial" w:eastAsia="arial" w:cs="arial"/>
          <w:sz w:val="28"/>
          <w:szCs w:val="28"/>
          <w:b w:val="1"/>
          <w:bCs w:val="1"/>
          <w:rtl/>
        </w:rPr>
        <w:t xml:space="preserve">ابن مفلح
</w:t>
      </w:r>
    </w:p>
    <w:p>
      <w:pPr/>
      <w:r>
        <w:rPr/>
        <w:t xml:space="preserve">ابن مفلح  محمد بن إبراهيم بن عمر، ابن مفلح الراميني المقدسي، أكمل الدين: مؤرخ، محدث، من القضاة. أصله من القدس ومولده ووفاته في دمشق. وهو آخر من عرف فيها من ’’بني مفلح’’وكانوا بيت علم وقضاء. سافر أكمل الدين إلى الآستانة، وولى قضاء بعلبك وصيدا، ثم استقر في دمشق. من كتبه ’’تاريخ’’ عام، بلغ به دولة السلطان قايتنباي، وقطعة من ’’تاريخ دمشق’’ وكتاب في ’’ من ولى قضاء الحنابلة استقلالا في ولاية ملوك مصر’’ورسالة في ’’تواريخ الأنبياء ’’ ورسالة في ’’أخبار ملوك مصر ’’ و’’تاريخ’’ ترجم به معاصريه. </w:t>
      </w:r>
    </w:p>
    <w:p>
      <w:pPr>
        <w:jc w:val="start"/>
        <w:bidi/>
      </w:pPr>
      <w:r>
        <w:rPr>
          <w:sz w:val="24"/>
          <w:szCs w:val="24"/>
          <w:b w:val="1"/>
          <w:bCs w:val="1"/>
          <w:rtl/>
        </w:rPr>
        <w:t xml:space="preserve">
الأعلام،(دار العلم للملايين - بيروت،2002،ط 15،ج 5،ص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2026-10-03T00:08:20+03:00</dcterms:created>
  <dcterms:modified xsi:type="dcterms:W3CDTF">2026-10-03T00:08:20+03:00</dcterms:modified>
</cp:coreProperties>
</file>

<file path=docProps/custom.xml><?xml version="1.0" encoding="utf-8"?>
<Properties xmlns="http://schemas.openxmlformats.org/officeDocument/2006/custom-properties" xmlns:vt="http://schemas.openxmlformats.org/officeDocument/2006/docPropsVTypes"/>
</file>