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ابن الحنبلي
</w:t>
      </w:r>
    </w:p>
    <w:p>
      <w:pPr>
        <w:jc w:val="start"/>
        <w:bidi/>
      </w:pPr>
      <w:r>
        <w:rPr>
          <w:rFonts w:ascii="arial" w:hAnsi="arial" w:eastAsia="arial" w:cs="arial"/>
          <w:sz w:val="28"/>
          <w:szCs w:val="28"/>
          <w:b w:val="1"/>
          <w:bCs w:val="1"/>
          <w:rtl/>
        </w:rPr>
        <w:t xml:space="preserve">رضي الدين ابن الحنبلي
</w:t>
      </w:r>
    </w:p>
    <w:p>
      <w:pPr/>
      <w:r>
        <w:rPr/>
        <w:t xml:space="preserve">رضي الدين ابن الحنبلي محمد بن إبراهيم بن يوسف الحلبي القادري التاذفي، رضي الدين ابن الحنبلي، يتصل نسبه بابن الشحنة: مؤرخ. من علماء حلب، مولده ووفاته فيها. له نيف وخمسون مصنفا، منها ’’ الزبد والضرب في تاريخ حلب-خ’’ رسالة، و’’در الحبب في تاريخ أعيان حلب –خ) و (المصابيح –خ’’ في الحساب، و’’الدرر الساطعة –خ’’ في الطب، و’’مخايل الملاحة في مسائل الفلاحة –خ’’ و’’تذكرة من نسي بالوسط الهندسي –خ’’ و’’الحدائق الأنسية –خ’’ في العروض، و’’رفع الحجاب عن قواعد الحساب-خ’’ و’’ربط الشوارد –خ’’ في شرح شواهد شرح السعد على العزي في الصرف، و’’روضة الأرواح –خ’’ فرائض، و’’ديوان شعره –خ’’ و’’سوابغ النوابغ –خ’’ في شرح نوابغ الكلم للزمخشري، و’’قفو الأثر في صفو علوم الأثر –ط’’ في مصطلح الحديث، و’’الفوائد السرية في شرح الجزرية –خ’’ تجويد، و’’حدائق أحداق الأزهار –خ’’ و’’شقائق الأكم بدقائق الحكم –خ’’ و’’تروية الظامي في تبرئة الجامي-خ’’ و’’بحر العوام فيما أصاب فيه العوام-ط’’.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2026-10-03T00:26:53+03:00</dcterms:created>
  <dcterms:modified xsi:type="dcterms:W3CDTF">2026-10-03T00:26:53+03:00</dcterms:modified>
</cp:coreProperties>
</file>

<file path=docProps/custom.xml><?xml version="1.0" encoding="utf-8"?>
<Properties xmlns="http://schemas.openxmlformats.org/officeDocument/2006/custom-properties" xmlns:vt="http://schemas.openxmlformats.org/officeDocument/2006/docPropsVTypes"/>
</file>