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الغساني
</w:t>
      </w:r>
    </w:p>
    <w:p>
      <w:pPr>
        <w:jc w:val="start"/>
        <w:bidi/>
      </w:pPr>
      <w:r>
        <w:rPr>
          <w:rFonts w:ascii="arial" w:hAnsi="arial" w:eastAsia="arial" w:cs="arial"/>
          <w:sz w:val="28"/>
          <w:szCs w:val="28"/>
          <w:b w:val="1"/>
          <w:bCs w:val="1"/>
          <w:rtl/>
        </w:rPr>
        <w:t xml:space="preserve">الغساني
</w:t>
      </w:r>
    </w:p>
    <w:p>
      <w:pPr/>
      <w:r>
        <w:rPr/>
        <w:t xml:space="preserve">الغساني  محمد بن إبراهيم بن أحمد بن أسود، أبو بكر الغساني: قاض مفسر. من بيت علم وورع، من أهل ’’المرية’’ بالأندلس. رحل إلى مصر، وعاد إلى بلده. واستقضى بمرسية، مدة طويلة، ثم صرف. وسكن مراكش فتوفي بها. له ’’تفسير القرآن).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أحمد بن أسود بن أبي بكر الغساني
</w:t>
      </w:r>
    </w:p>
    <w:p>
      <w:pPr/>
      <w:r>
        <w:rPr/>
        <w:t xml:space="preserve">محمد بن إبراهيم بن أحمد بن أسود بن أبي بكر الغساني. من أهل المرية، قدم إلى مصر ولقي بها أبا بكر الطرطوشي، ثم عاد إلى بلده، وشوور واستقضي بمرسية مدة طويلة، ثم صرف وسكن مراكش.</w:t>
      </w:r>
    </w:p>
    <w:p/>
    <w:p>
      <w:pPr/>
      <w:r>
        <w:rPr/>
        <w:t xml:space="preserve">قال ابن بشكوال: وتوفي بمراكش في رجب سنة ست وثلاثين وخمسمائة.</w:t>
      </w:r>
    </w:p>
    <w:p/>
    <w:p>
      <w:pPr/>
      <w:r>
        <w:rPr/>
        <w:t xml:space="preserve">وقال أبو جعفر بن الزبير: وله كتاب «تفسير القرآن» وبيته بيت علم ودين.</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2026-07-27T17:04:15+03:00</dcterms:created>
  <dcterms:modified xsi:type="dcterms:W3CDTF">2026-07-27T17:04:15+03:00</dcterms:modified>
</cp:coreProperties>
</file>

<file path=docProps/custom.xml><?xml version="1.0" encoding="utf-8"?>
<Properties xmlns="http://schemas.openxmlformats.org/officeDocument/2006/custom-properties" xmlns:vt="http://schemas.openxmlformats.org/officeDocument/2006/docPropsVTypes"/>
</file>