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الكاشي
</w:t>
      </w:r>
    </w:p>
    <w:p>
      <w:pPr>
        <w:jc w:val="start"/>
        <w:bidi/>
      </w:pPr>
      <w:r>
        <w:rPr>
          <w:rFonts w:ascii="arial" w:hAnsi="arial" w:eastAsia="arial" w:cs="arial"/>
          <w:sz w:val="28"/>
          <w:szCs w:val="28"/>
          <w:b w:val="1"/>
          <w:bCs w:val="1"/>
          <w:rtl/>
        </w:rPr>
        <w:t xml:space="preserve">الكاشي
</w:t>
      </w:r>
    </w:p>
    <w:p>
      <w:pPr/>
      <w:r>
        <w:rPr/>
        <w:t xml:space="preserve">الكاشي  محسن بن مرتضى بن فيض الله محمود الكاشي: مفسر من علماء الامامية ورد اسمه ’’ محسن بن مرتضى) و (محسن بن محمد) و (محمد محسن ’’ وقيل له ’’ الفيض ’’ وعرف جده بفيض الله وبالفيض. وجاءت نسبته ’’ الكاشي) و (الكاشاني) و (القاشاني ’’ ويقال له: ملا محسن فيض الكاشي، وينعت بالمتأله الحكيم، من أهل كاشان. قرأ كتب أبي حامد الغزالي وتأثر به وسلك منهجه في كثير من ’’ تصرفاته وتظرفاته ’’ كما يقول صاحب الروضات. له نحو 80 مصنفا، بعضها في مجلدات. وأكثرها تعليقات ورسائل. دونها في فهرست شرح بن موضوع كل منها. ومن كتبه ’’ الصافي في تفسير كلام الله الوافي - ط) و (الاصفى - ط) بهامش الاول، مختصره، و (الاصول الاصلية - ط) و (نضد الايضاح - ط) مع فهرس الطوسي، و (منهاج النجاة - ط) و (الحقائق في محاسن الاخلاق - ط) ومعتصم الشيعة - خ) و (الوافي - خ) الثالث والعاشر منه، في علوم الدين، والكتابان في مكتبة البغدادي، و (عين اليقين - خ) في دار الكتب (618 فلسفة).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2026-10-02T21:12:41+03:00</dcterms:created>
  <dcterms:modified xsi:type="dcterms:W3CDTF">2026-10-02T21:12:41+03:00</dcterms:modified>
</cp:coreProperties>
</file>

<file path=docProps/custom.xml><?xml version="1.0" encoding="utf-8"?>
<Properties xmlns="http://schemas.openxmlformats.org/officeDocument/2006/custom-properties" xmlns:vt="http://schemas.openxmlformats.org/officeDocument/2006/docPropsVTypes"/>
</file>