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الحنفي البغدادي
</w:t>
      </w:r>
    </w:p>
    <w:p>
      <w:pPr>
        <w:jc w:val="start"/>
        <w:bidi/>
      </w:pPr>
      <w:r>
        <w:rPr>
          <w:rFonts w:ascii="arial" w:hAnsi="arial" w:eastAsia="arial" w:cs="arial"/>
          <w:sz w:val="28"/>
          <w:szCs w:val="28"/>
          <w:b w:val="1"/>
          <w:bCs w:val="1"/>
          <w:rtl/>
        </w:rPr>
        <w:t xml:space="preserve">أبو علي الحنفي البغدادي
</w:t>
      </w:r>
    </w:p>
    <w:p>
      <w:pPr/>
      <w:r>
        <w:rPr/>
        <w:t xml:space="preserve">أبو علي الحنفي البغدادي الحسن بن المبارك بن محمد بن يحيى الزبيدي، أبو علي الفقيه الحنفي البغدادي.</w:t>
      </w:r>
    </w:p>
    <w:p/>
    <w:p>
      <w:pPr/>
      <w:r>
        <w:rPr/>
        <w:t xml:space="preserve">سمع أبا الوقت عبد الأول بن عيسى السجزي، وأبا علي أحمد بن أحمد بن علي بن الخراز، وأبا جعفر محمد بن محمد الطائي الهمذاني، وغيرهم، وعمر حتى حدث بالكثير.</w:t>
      </w:r>
    </w:p>
    <w:p/>
    <w:p>
      <w:pPr/>
      <w:r>
        <w:rPr/>
        <w:t xml:space="preserve">قال محب الدين بن النجار: كتبت عنه وكان عالما فاضلا أمينا متدينا صالحا، حسن الطريقة، له معرفة تامة بالنحو. وقد كتب بخطه كثيرا من كتب التفاسير والحديث والتواريخ والأدب وكانت أوقاته محفوظة. توفي سنة تسع وعشرين وستمائة.</w:t>
      </w:r>
    </w:p>
    <w:p/>
    <w:p>
      <w:pPr/>
      <w:r>
        <w:rPr/>
        <w:t xml:space="preserve">قال الشيخ شمس الدين: حدث ببغداد ومكة، وكان حنبليا، ثم تحول شافعيا، ثم استقر حنفيا.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2026-08-26T23:56:54+03:00</dcterms:created>
  <dcterms:modified xsi:type="dcterms:W3CDTF">2026-08-26T23:56:54+03:00</dcterms:modified>
</cp:coreProperties>
</file>

<file path=docProps/custom.xml><?xml version="1.0" encoding="utf-8"?>
<Properties xmlns="http://schemas.openxmlformats.org/officeDocument/2006/custom-properties" xmlns:vt="http://schemas.openxmlformats.org/officeDocument/2006/docPropsVTypes"/>
</file>