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المشعشع
</w:t>
      </w:r>
    </w:p>
    <w:p>
      <w:pPr>
        <w:jc w:val="start"/>
        <w:bidi/>
      </w:pPr>
      <w:r>
        <w:rPr>
          <w:rFonts w:ascii="arial" w:hAnsi="arial" w:eastAsia="arial" w:cs="arial"/>
          <w:sz w:val="28"/>
          <w:szCs w:val="28"/>
          <w:b w:val="1"/>
          <w:bCs w:val="1"/>
          <w:rtl/>
        </w:rPr>
        <w:t xml:space="preserve">المشعشع
</w:t>
      </w:r>
    </w:p>
    <w:p>
      <w:pPr/>
      <w:r>
        <w:rPr/>
        <w:t xml:space="preserve">المشعشع  محسن بن محمد بن فلاح، من سلالة موسى الكاظم: من سلاطين دولة المشعشعين –من غلاة الشيعة- في الأهواز. وكانت قاعدتهم ’’الحويزة’’ بين واسط والبصرة. ولى بعد موت أبيه (سنة 866) واستولى على أكثر أنحاء بغداد، ودخل في طاعته الكرد البختيارية والكرد الفيلية. وكان كريما محبا للفضيلة، وضربت النقود باسمه في أيامه. واستمر إلى أن مات.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2026-07-28T10:11:44+03:00</dcterms:created>
  <dcterms:modified xsi:type="dcterms:W3CDTF">2026-07-28T10:11:44+03:00</dcterms:modified>
</cp:coreProperties>
</file>

<file path=docProps/custom.xml><?xml version="1.0" encoding="utf-8"?>
<Properties xmlns="http://schemas.openxmlformats.org/officeDocument/2006/custom-properties" xmlns:vt="http://schemas.openxmlformats.org/officeDocument/2006/docPropsVTypes"/>
</file>