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القريق المقرئ
</w:t>
      </w:r>
    </w:p>
    <w:p>
      <w:pPr>
        <w:jc w:val="start"/>
        <w:bidi/>
      </w:pPr>
      <w:r>
        <w:rPr>
          <w:rFonts w:ascii="arial" w:hAnsi="arial" w:eastAsia="arial" w:cs="arial"/>
          <w:sz w:val="28"/>
          <w:szCs w:val="28"/>
          <w:b w:val="1"/>
          <w:bCs w:val="1"/>
          <w:rtl/>
        </w:rPr>
        <w:t xml:space="preserve">ابن القريق المقرئ
</w:t>
      </w:r>
    </w:p>
    <w:p>
      <w:pPr/>
      <w:r>
        <w:rPr/>
        <w:t xml:space="preserve">ابن القريق المقرئ الحسن بن عبد الله بن محمد الكاتب البغدادي، أبو محمد المقرئ المعروف بابن القريق- بقافين الأولى مضمومة وبينهما راء مكسورة بعدها ياء آخر الحروف ساكنة- كذا وجدته مضبوطا.</w:t>
      </w:r>
    </w:p>
    <w:p/>
    <w:p>
      <w:pPr/>
      <w:r>
        <w:rPr/>
        <w:t xml:space="preserve">قرأ القرآن على أبي بكر بن مجاهد، وعلى محمد بن الحسن النقاش، وأبي الحسن محمد بن أحمد بن محمد بن عثمان بن جعفر بن بويان الحربي، وأبي الحسن محمد بن أحمد المروزي.</w:t>
      </w:r>
    </w:p>
    <w:p/>
    <w:p>
      <w:pPr/>
      <w:r>
        <w:rPr/>
        <w:t xml:space="preserve">وقرأ عليه أبو نصر منصور بن محمد بن إبراهيم بن عبد الله المقرئ العراقي، وروى عنه في كتاب الإشارة من جمعه. وتوفي سنة ثمان وستين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القرين المقرئ
</w:t>
      </w:r>
    </w:p>
    <w:p>
      <w:pPr/>
      <w:r>
        <w:rPr/>
        <w:t xml:space="preserve">ابن القرين المقرئ الحسن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2026-08-25T05:11:46+03:00</dcterms:created>
  <dcterms:modified xsi:type="dcterms:W3CDTF">2026-08-25T05:11:46+03:00</dcterms:modified>
</cp:coreProperties>
</file>

<file path=docProps/custom.xml><?xml version="1.0" encoding="utf-8"?>
<Properties xmlns="http://schemas.openxmlformats.org/officeDocument/2006/custom-properties" xmlns:vt="http://schemas.openxmlformats.org/officeDocument/2006/docPropsVTypes"/>
</file>