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الحسن بن عبد الله العثماني، أبو عبد الله النيسابوري.</w:t>
      </w:r>
    </w:p>
    <w:p/>
    <w:p>
      <w:pPr/>
      <w:r>
        <w:rPr/>
        <w:t xml:space="preserve">ذكره عبد الغافر في كتاب السياق، وقال: مات في شهور سنة نيف وسبعين وأربعمائة، وقال: هو الإمام الكامل البارع في فنه المعجز في نكته، له التصانيف المشهورة في التذكير، والخطب، وطرف الأشعار، والرسائل، والموشحات الغريبة، والصناعات البديعة، والترصيعات الرشيقة، في النظم والنثر، بحيث يستفيد منها الأكابر والأماثل.</w:t>
      </w:r>
    </w:p>
    <w:p/>
    <w:p>
      <w:pPr/>
      <w:r>
        <w:rPr/>
        <w:t xml:space="preserve">تفقه على الجويني، ثم انتقل إلى ناحية بست، وسكنها، ووافى بها قبولا بالغا فصار مشارا إليه في عصره. </w:t>
      </w:r>
    </w:p>
    <w:p/>
    <w:p>
      <w:pPr/>
      <w:r>
        <w:rPr/>
        <w:t xml:space="preserve">قلت: وكتب إليه الباخرزي صاحب الدمية: </w:t>
      </w:r>
    </w:p>
    <w:p/>
    <w:p>
      <w:pPr>
        <w:jc w:val="center"/>
      </w:pPr>
      <w:r>
        <w:rPr>
          <w:color w:val="ff0000"/>
        </w:rPr>
        <w:t xml:space="preserve">الله يعلم أنني متبجح</w:t>
      </w:r>
      <w:r>
        <w:rPr>
          <w:color w:val="ff0000"/>
        </w:rPr>
        <w:t xml:space="preserve">      </w:t>
      </w:r>
      <w:r>
        <w:rPr>
          <w:color w:val="ff0000"/>
        </w:rPr>
        <w:t xml:space="preserve">بمحاسن الحسن بن عبد الله</w:t>
      </w:r>
    </w:p>
    <w:p/>
    <w:p>
      <w:pPr>
        <w:jc w:val="center"/>
      </w:pPr>
      <w:r>
        <w:rPr>
          <w:color w:val="ff0000"/>
        </w:rPr>
        <w:t xml:space="preserve">كم للظريف أبي علي نكتة</w:t>
      </w:r>
      <w:r>
        <w:rPr>
          <w:color w:val="ff0000"/>
        </w:rPr>
        <w:t xml:space="preserve">      </w:t>
      </w:r>
      <w:r>
        <w:rPr>
          <w:color w:val="ff0000"/>
        </w:rPr>
        <w:t xml:space="preserve">غربت فلم تدر الخلائق ما هي</w:t>
      </w:r>
    </w:p>
    <w:p/>
    <w:p>
      <w:pPr>
        <w:jc w:val="center"/>
      </w:pPr>
      <w:r>
        <w:rPr>
          <w:color w:val="ff0000"/>
        </w:rPr>
        <w:t xml:space="preserve">كجواهر الأصداف بل كزواهر الآ</w:t>
      </w:r>
      <w:r>
        <w:rPr>
          <w:color w:val="ff0000"/>
        </w:rPr>
        <w:t xml:space="preserve">      </w:t>
      </w:r>
      <w:r>
        <w:rPr>
          <w:color w:val="ff0000"/>
        </w:rPr>
        <w:t xml:space="preserve">داب بل عظمت من الأشباه</w:t>
      </w:r>
    </w:p>
    <w:p/>
    <w:p>
      <w:pPr>
        <w:jc w:val="center"/>
      </w:pPr>
      <w:r>
        <w:rPr>
          <w:color w:val="ff0000"/>
        </w:rPr>
        <w:t xml:space="preserve">شاهت وجوه الطالبين لشأوه</w:t>
      </w:r>
      <w:r>
        <w:rPr>
          <w:color w:val="ff0000"/>
        </w:rPr>
        <w:t xml:space="preserve">      </w:t>
      </w:r>
      <w:r>
        <w:rPr>
          <w:color w:val="ff0000"/>
        </w:rPr>
        <w:t xml:space="preserve">فهم البيادق وهو مثل الشاه</w:t>
      </w:r>
    </w:p>
    <w:p/>
    <w:p>
      <w:pPr/>
      <w:r>
        <w:rPr/>
        <w:t xml:space="preserve">فكتب العثماني الجواب إليه: </w:t>
      </w:r>
    </w:p>
    <w:p/>
    <w:p>
      <w:pPr>
        <w:jc w:val="center"/>
      </w:pPr>
      <w:r>
        <w:rPr>
          <w:color w:val="ff0000"/>
        </w:rPr>
        <w:t xml:space="preserve">يا هدهدا هو كالفيوج بحمله</w:t>
      </w:r>
      <w:r>
        <w:rPr>
          <w:color w:val="ff0000"/>
        </w:rPr>
        <w:t xml:space="preserve">      </w:t>
      </w:r>
      <w:r>
        <w:rPr>
          <w:color w:val="ff0000"/>
        </w:rPr>
        <w:t xml:space="preserve">في هامة الرأس الكتاب مضاهي</w:t>
      </w:r>
    </w:p>
    <w:p/>
    <w:p>
      <w:pPr>
        <w:jc w:val="center"/>
      </w:pPr>
      <w:r>
        <w:rPr>
          <w:color w:val="ff0000"/>
        </w:rPr>
        <w:t xml:space="preserve">اذهب إليه بالكتاب فألقه</w:t>
      </w:r>
      <w:r>
        <w:rPr>
          <w:color w:val="ff0000"/>
        </w:rPr>
        <w:t xml:space="preserve">      </w:t>
      </w:r>
      <w:r>
        <w:rPr>
          <w:color w:val="ff0000"/>
        </w:rPr>
        <w:t xml:space="preserve">بالقرب منه وإن نهاك الناهي</w:t>
      </w:r>
    </w:p>
    <w:p/>
    <w:p>
      <w:pPr>
        <w:jc w:val="center"/>
      </w:pPr>
      <w:r>
        <w:rPr>
          <w:color w:val="ff0000"/>
        </w:rPr>
        <w:t xml:space="preserve">وتول عنه وانظرن في خفية</w:t>
      </w:r>
      <w:r>
        <w:rPr>
          <w:color w:val="ff0000"/>
        </w:rPr>
        <w:t xml:space="preserve">      </w:t>
      </w:r>
      <w:r>
        <w:rPr>
          <w:color w:val="ff0000"/>
        </w:rPr>
        <w:t xml:space="preserve">بم يذكر الحسن بن عبد الله</w:t>
      </w:r>
    </w:p>
    <w:p/>
    <w:p>
      <w:pPr/>
      <w:r>
        <w:rPr/>
        <w:t xml:space="preserve">فأجاب الباخرزي: </w:t>
      </w:r>
    </w:p>
    <w:p/>
    <w:p>
      <w:pPr>
        <w:jc w:val="center"/>
      </w:pPr>
      <w:r>
        <w:rPr>
          <w:color w:val="ff0000"/>
        </w:rPr>
        <w:t xml:space="preserve">تلك الجنان قطوفهن دوان</w:t>
      </w:r>
      <w:r>
        <w:rPr>
          <w:color w:val="ff0000"/>
        </w:rPr>
        <w:t xml:space="preserve">      </w:t>
      </w:r>
      <w:r>
        <w:rPr>
          <w:color w:val="ff0000"/>
        </w:rPr>
        <w:t xml:space="preserve">تشدو حمائمها على الأغصان</w:t>
      </w:r>
    </w:p>
    <w:p/>
    <w:p>
      <w:pPr>
        <w:jc w:val="center"/>
      </w:pPr>
      <w:r>
        <w:rPr>
          <w:color w:val="ff0000"/>
        </w:rPr>
        <w:t xml:space="preserve">أم صدغ معشوق تصولج مسكه</w:t>
      </w:r>
      <w:r>
        <w:rPr>
          <w:color w:val="ff0000"/>
        </w:rPr>
        <w:t xml:space="preserve">      </w:t>
      </w:r>
      <w:r>
        <w:rPr>
          <w:color w:val="ff0000"/>
        </w:rPr>
        <w:t xml:space="preserve">من ورد وجنته على ميدان</w:t>
      </w:r>
    </w:p>
    <w:p/>
    <w:p>
      <w:pPr>
        <w:jc w:val="center"/>
      </w:pPr>
      <w:r>
        <w:rPr>
          <w:color w:val="ff0000"/>
        </w:rPr>
        <w:t xml:space="preserve">أم روضة بيد السحاب مروضة</w:t>
      </w:r>
      <w:r>
        <w:rPr>
          <w:color w:val="ff0000"/>
        </w:rPr>
        <w:t xml:space="preserve">      </w:t>
      </w:r>
      <w:r>
        <w:rPr>
          <w:color w:val="ff0000"/>
        </w:rPr>
        <w:t xml:space="preserve">لنسيمها لعب بغصن البان</w:t>
      </w:r>
    </w:p>
    <w:p/>
    <w:p>
      <w:pPr>
        <w:jc w:val="center"/>
      </w:pPr>
      <w:r>
        <w:rPr>
          <w:color w:val="ff0000"/>
        </w:rPr>
        <w:t xml:space="preserve">أم شعر أظرف من مشى فوق الثرى</w:t>
      </w:r>
      <w:r>
        <w:rPr>
          <w:color w:val="ff0000"/>
        </w:rPr>
        <w:t xml:space="preserve">      </w:t>
      </w:r>
      <w:r>
        <w:rPr>
          <w:color w:val="ff0000"/>
        </w:rPr>
        <w:t xml:space="preserve">حسن بن عبد الله ذي الإحسان</w:t>
      </w:r>
    </w:p>
    <w:p/>
    <w:p>
      <w:pPr>
        <w:jc w:val="center"/>
      </w:pPr>
      <w:r>
        <w:rPr>
          <w:color w:val="ff0000"/>
        </w:rPr>
        <w:t xml:space="preserve">عثمان يوم الدار لم يك جازعا</w:t>
      </w:r>
      <w:r>
        <w:rPr>
          <w:color w:val="ff0000"/>
        </w:rPr>
        <w:t xml:space="preserve">      </w:t>
      </w:r>
      <w:r>
        <w:rPr>
          <w:color w:val="ff0000"/>
        </w:rPr>
        <w:t xml:space="preserve">جزعي لحرقة فرقة العثماني</w:t>
      </w:r>
    </w:p>
    <w:p/>
    <w:p>
      <w:pPr/>
      <w:r>
        <w:rPr/>
        <w:t xml:space="preserve">فأجاب العثماني وهو بقرية بان: </w:t>
      </w:r>
    </w:p>
    <w:p/>
    <w:p>
      <w:pPr>
        <w:jc w:val="center"/>
      </w:pPr>
      <w:r>
        <w:rPr>
          <w:color w:val="ff0000"/>
        </w:rPr>
        <w:t xml:space="preserve">ريح الصبا خلي قضيب البان</w:t>
      </w:r>
      <w:r>
        <w:rPr>
          <w:color w:val="ff0000"/>
        </w:rPr>
        <w:t xml:space="preserve">      </w:t>
      </w:r>
      <w:r>
        <w:rPr>
          <w:color w:val="ff0000"/>
        </w:rPr>
        <w:t xml:space="preserve">هبي على قلبي بقرية بان</w:t>
      </w:r>
    </w:p>
    <w:p/>
    <w:p>
      <w:pPr>
        <w:jc w:val="center"/>
      </w:pPr>
      <w:r>
        <w:rPr>
          <w:color w:val="ff0000"/>
        </w:rPr>
        <w:t xml:space="preserve">هبي عليه سحرة قولي له</w:t>
      </w:r>
      <w:r>
        <w:rPr>
          <w:color w:val="ff0000"/>
        </w:rPr>
        <w:t xml:space="preserve">      </w:t>
      </w:r>
      <w:r>
        <w:rPr>
          <w:color w:val="ff0000"/>
        </w:rPr>
        <w:t xml:space="preserve">كم ذا المقام كذا بدار هوان</w:t>
      </w:r>
    </w:p>
    <w:p/>
    <w:p>
      <w:pPr>
        <w:jc w:val="center"/>
      </w:pPr>
      <w:r>
        <w:rPr>
          <w:color w:val="ff0000"/>
        </w:rPr>
        <w:t xml:space="preserve">قد كنت تولع بالبديع وشعره</w:t>
      </w:r>
      <w:r>
        <w:rPr>
          <w:color w:val="ff0000"/>
        </w:rPr>
        <w:t xml:space="preserve">      </w:t>
      </w:r>
      <w:r>
        <w:rPr>
          <w:color w:val="ff0000"/>
        </w:rPr>
        <w:t xml:space="preserve">فارجع فقد وافى بديع زمان</w:t>
      </w:r>
    </w:p>
    <w:p/>
    <w:p>
      <w:pPr>
        <w:jc w:val="center"/>
      </w:pPr>
      <w:r>
        <w:rPr>
          <w:color w:val="ff0000"/>
        </w:rPr>
        <w:t xml:space="preserve">أين البديع من الطريف الفاضل</w:t>
      </w:r>
      <w:r>
        <w:rPr>
          <w:color w:val="ff0000"/>
        </w:rPr>
        <w:t xml:space="preserve">      </w:t>
      </w:r>
      <w:r>
        <w:rPr>
          <w:color w:val="ff0000"/>
        </w:rPr>
        <w:t xml:space="preserve">بن الفاضل الفرد العليم الثاني</w:t>
      </w:r>
    </w:p>
    <w:p/>
    <w:p>
      <w:pPr>
        <w:jc w:val="center"/>
      </w:pPr>
      <w:r>
        <w:rPr>
          <w:color w:val="ff0000"/>
        </w:rPr>
        <w:t xml:space="preserve">سلسل خطوطك ما غدا متسلسلا</w:t>
      </w:r>
      <w:r>
        <w:rPr>
          <w:color w:val="ff0000"/>
        </w:rPr>
        <w:t xml:space="preserve">      </w:t>
      </w:r>
      <w:r>
        <w:rPr>
          <w:color w:val="ff0000"/>
        </w:rPr>
        <w:t xml:space="preserve">شاطي الحمام الورق بالأغصان</w:t>
      </w:r>
    </w:p>
    <w:p/>
    <w:p>
      <w:pPr/>
      <w:r>
        <w:rPr/>
        <w:t xml:space="preserve">ومن شعر العثماني:</w:t>
      </w:r>
    </w:p>
    <w:p/>
    <w:p>
      <w:pPr>
        <w:jc w:val="center"/>
      </w:pPr>
      <w:r>
        <w:rPr>
          <w:color w:val="ff0000"/>
        </w:rPr>
        <w:t xml:space="preserve">لا تعلون على السلطان طائفة</w:t>
      </w:r>
      <w:r>
        <w:rPr>
          <w:color w:val="ff0000"/>
        </w:rPr>
        <w:t xml:space="preserve">      </w:t>
      </w:r>
      <w:r>
        <w:rPr>
          <w:color w:val="ff0000"/>
        </w:rPr>
        <w:t xml:space="preserve">وبعد ذاك لتفعل كل ما فعلت</w:t>
      </w:r>
    </w:p>
    <w:p/>
    <w:p>
      <w:pPr>
        <w:jc w:val="center"/>
      </w:pPr>
      <w:r>
        <w:rPr>
          <w:color w:val="ff0000"/>
        </w:rPr>
        <w:t xml:space="preserve">لا تحرق النار إلا كل نابتة</w:t>
      </w:r>
      <w:r>
        <w:rPr>
          <w:color w:val="ff0000"/>
        </w:rPr>
        <w:t xml:space="preserve">      </w:t>
      </w:r>
      <w:r>
        <w:rPr>
          <w:color w:val="ff0000"/>
        </w:rPr>
        <w:t xml:space="preserve">لأنها نازعتها في العلا فعلت</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العثماني، أبو علي النيسابوري
</w:t>
      </w:r>
    </w:p>
    <w:p>
      <w:pPr/>
      <w:r>
        <w:rPr/>
        <w:t xml:space="preserve">الحسن بن عبد الله العثماني، أبو علي النيسابوري ذكره عبد الغافر في «كتاب السياق» وقال: إنه مات في شهور سنة نيف وسبعين وأربعمائة، ووصفه فقال: هو الإمام الكامل البارع في فنه، المعجز في نكته، له التصانيف المشهورة في التذكير والخطب وطرف الأشعار والرسائل والموشحات الغريبة والصناعات البديعة والترصيعات الرشيقة في النظم والنثر، بحيث يستفيد منها الأكابر والأماثل، ويستضيء</w:t>
      </w:r>
    </w:p>
    <w:p/>
    <w:p>
      <w:pPr/>
      <w:r>
        <w:rPr/>
        <w:t xml:space="preserve">بنورها البلغاء في المحافل، تفقه على الجويني ثم انتقل إلى ناحية بست وسكنها، ووافى بها قبولا بالغا، فصار مشارا إليه في عصره تحترمه الصدور. قال: وافيت الناحية فرأيت ازدحاما على قبره في الموسم وتناحرا عليه، وكان أكثر ميله إلى مقولاته في تصانيفه ومجموعاته، نظما ونثرا، دون المنقول.</w:t>
      </w:r>
    </w:p>
    <w:p>
      <w:pPr>
        <w:jc w:val="start"/>
        <w:bidi/>
      </w:pPr>
      <w:r>
        <w:rPr>
          <w:sz w:val="24"/>
          <w:szCs w:val="24"/>
          <w:b w:val="1"/>
          <w:bCs w:val="1"/>
          <w:rtl/>
        </w:rPr>
        <w:t xml:space="preserve">
معجم الأدباء / إرشاد الأريب إلى معرفة الأديب،(دار الغرب الإسلامي - بيروت،1993،ط 0،ج 2،ص 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العثماني أبو علي النيسابوري 
</w:t>
      </w:r>
    </w:p>
    <w:p>
      <w:pPr/>
      <w:r>
        <w:rPr/>
        <w:t xml:space="preserve">الحسن بن عبد الله العثماني، أبو عليّ النّيسابوري. </w:t>
      </w:r>
    </w:p>
    <w:p/>
    <w:p>
      <w:pPr/>
      <w:r>
        <w:rPr/>
        <w:t xml:space="preserve">ذكره عبد الغافر الفارسيّ في سياق تاريخ نيسابور، وقال: كان إماما كاملا، بارعا في الفقه والوعظ وغير ذلك. وله تصانيف، منها: كتاب التذكير: في الوعظ، وكتاب الخطب، وكتاب طرف الأشعار والرسائل، وكتاب النظم والنثر، وكتاب الصّناعات البديعة.</w:t>
      </w:r>
    </w:p>
    <w:p/>
    <w:p>
      <w:pPr/>
      <w:r>
        <w:rPr/>
        <w:t xml:space="preserve">ومات في شهور سنة نيّف وسبعين وأربع مائة.</w:t>
      </w:r>
    </w:p>
    <w:p>
      <w:pPr>
        <w:jc w:val="start"/>
        <w:bidi/>
      </w:pPr>
      <w:r>
        <w:rPr>
          <w:sz w:val="24"/>
          <w:szCs w:val="24"/>
          <w:b w:val="1"/>
          <w:bCs w:val="1"/>
          <w:rtl/>
        </w:rPr>
        <w:t xml:space="preserve">
الدر الثمين في أسماء المصنفين،(دار الغرب الإسلامي - تونس،2009،ط 1،ج 1،ص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2026-08-25T00:13:48+03:00</dcterms:created>
  <dcterms:modified xsi:type="dcterms:W3CDTF">2026-08-25T00:13:48+03:00</dcterms:modified>
</cp:coreProperties>
</file>

<file path=docProps/custom.xml><?xml version="1.0" encoding="utf-8"?>
<Properties xmlns="http://schemas.openxmlformats.org/officeDocument/2006/custom-properties" xmlns:vt="http://schemas.openxmlformats.org/officeDocument/2006/docPropsVTypes"/>
</file>