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الثاني
</w:t>
      </w:r>
    </w:p>
    <w:p>
      <w:pPr>
        <w:jc w:val="start"/>
        <w:bidi/>
      </w:pPr>
      <w:r>
        <w:rPr>
          <w:rFonts w:ascii="arial" w:hAnsi="arial" w:eastAsia="arial" w:cs="arial"/>
          <w:sz w:val="28"/>
          <w:szCs w:val="28"/>
          <w:b w:val="1"/>
          <w:bCs w:val="1"/>
          <w:rtl/>
        </w:rPr>
        <w:t xml:space="preserve">محسن الثاني
</w:t>
      </w:r>
    </w:p>
    <w:p>
      <w:pPr/>
      <w:r>
        <w:rPr/>
        <w:t xml:space="preserve">محسن الثاني  محسن بن حسين بن زيد بن محسن: شريف حسني، من أمراء مكة. وليها سنة 1101 هـ ، واستمر سنة وقريبا من خمسة أشهر، فنازعه ابن عمه سعيد بن سعد. وعظمت الفتنة، فنزل محسن عن الإمارة (سنة 1103) ثم ولى إمارة المدينة (سنة 1107) فأقام فيها إلى أن توفي. </w:t>
      </w:r>
    </w:p>
    <w:p>
      <w:pPr>
        <w:jc w:val="start"/>
        <w:bidi/>
      </w:pPr>
      <w:r>
        <w:rPr>
          <w:sz w:val="24"/>
          <w:szCs w:val="24"/>
          <w:b w:val="1"/>
          <w:bCs w:val="1"/>
          <w:rtl/>
        </w:rPr>
        <w:t xml:space="preserve">
الأعلام،(دار العلم للملايين - بيروت،2002،ط 15،ج 5،ص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2026-10-02T21:16:16+03:00</dcterms:created>
  <dcterms:modified xsi:type="dcterms:W3CDTF">2026-10-02T21:16:16+03:00</dcterms:modified>
</cp:coreProperties>
</file>

<file path=docProps/custom.xml><?xml version="1.0" encoding="utf-8"?>
<Properties xmlns="http://schemas.openxmlformats.org/officeDocument/2006/custom-properties" xmlns:vt="http://schemas.openxmlformats.org/officeDocument/2006/docPropsVTypes"/>
</file>